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7" w:rsidRPr="00A339A0" w:rsidRDefault="00162F37" w:rsidP="00162F37">
      <w:pPr>
        <w:spacing w:after="0" w:line="240" w:lineRule="auto"/>
        <w:jc w:val="center"/>
        <w:rPr>
          <w:rFonts w:ascii="Book Antiqua" w:eastAsia="Times New Roman" w:hAnsi="Book Antiqua" w:cs="Times New Roman"/>
          <w:sz w:val="36"/>
          <w:szCs w:val="28"/>
          <w:lang w:val="es-PR"/>
        </w:rPr>
      </w:pPr>
      <w:r>
        <w:rPr>
          <w:rFonts w:ascii="Book Antiqua" w:eastAsia="Times New Roman" w:hAnsi="Book Antiqua" w:cs="Times New Roman"/>
          <w:sz w:val="36"/>
          <w:szCs w:val="28"/>
          <w:lang w:val="es-PR"/>
        </w:rPr>
        <w:t>GOBIERNO</w:t>
      </w:r>
      <w:r w:rsidRPr="00A339A0">
        <w:rPr>
          <w:rFonts w:ascii="Book Antiqua" w:eastAsia="Times New Roman" w:hAnsi="Book Antiqua" w:cs="Times New Roman"/>
          <w:sz w:val="36"/>
          <w:szCs w:val="28"/>
          <w:lang w:val="es-PR"/>
        </w:rPr>
        <w:t xml:space="preserve"> DE PUERTO RICO</w:t>
      </w:r>
    </w:p>
    <w:p w:rsidR="00162F37" w:rsidRPr="00A339A0" w:rsidRDefault="00162F37" w:rsidP="00162F37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  <w:lang w:val="es-PR"/>
        </w:rPr>
      </w:pPr>
    </w:p>
    <w:p w:rsidR="00162F37" w:rsidRPr="00A339A0" w:rsidRDefault="00162F37" w:rsidP="00162F37">
      <w:pPr>
        <w:tabs>
          <w:tab w:val="left" w:pos="648"/>
          <w:tab w:val="right" w:pos="7776"/>
          <w:tab w:val="left" w:pos="7848"/>
        </w:tabs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val="es-PR"/>
        </w:rPr>
      </w:pPr>
      <w:r w:rsidRPr="00A339A0">
        <w:rPr>
          <w:rFonts w:ascii="Book Antiqua" w:eastAsia="Times New Roman" w:hAnsi="Book Antiqua" w:cs="Times New Roman"/>
          <w:sz w:val="24"/>
          <w:szCs w:val="20"/>
          <w:lang w:val="es-PR"/>
        </w:rPr>
        <w:t>1</w:t>
      </w:r>
      <w:r>
        <w:rPr>
          <w:rFonts w:ascii="Book Antiqua" w:eastAsia="Times New Roman" w:hAnsi="Book Antiqua" w:cs="Times New Roman"/>
          <w:sz w:val="24"/>
          <w:szCs w:val="20"/>
          <w:lang w:val="es-PR"/>
        </w:rPr>
        <w:t>9</w:t>
      </w:r>
      <w:r w:rsidRPr="00A339A0">
        <w:rPr>
          <w:rFonts w:ascii="Book Antiqua" w:eastAsia="Times New Roman" w:hAnsi="Book Antiqua" w:cs="Times New Roman"/>
          <w:sz w:val="24"/>
          <w:szCs w:val="20"/>
          <w:vertAlign w:val="superscript"/>
          <w:lang w:val="es-PR"/>
        </w:rPr>
        <w:t>na.</w:t>
      </w:r>
      <w:r w:rsidRPr="00A339A0">
        <w:rPr>
          <w:rFonts w:ascii="Book Antiqua" w:eastAsia="Times New Roman" w:hAnsi="Book Antiqua" w:cs="Times New Roman"/>
          <w:sz w:val="24"/>
          <w:szCs w:val="20"/>
          <w:lang w:val="es-PR"/>
        </w:rPr>
        <w:tab/>
        <w:t>Asamblea</w:t>
      </w:r>
      <w:r w:rsidRPr="00A339A0">
        <w:rPr>
          <w:rFonts w:ascii="Book Antiqua" w:eastAsia="Times New Roman" w:hAnsi="Book Antiqua" w:cs="Times New Roman"/>
          <w:sz w:val="24"/>
          <w:szCs w:val="20"/>
          <w:lang w:val="es-PR"/>
        </w:rPr>
        <w:tab/>
      </w:r>
      <w:r w:rsidR="004E5C5D">
        <w:rPr>
          <w:rFonts w:ascii="Book Antiqua" w:eastAsia="Times New Roman" w:hAnsi="Book Antiqua" w:cs="Times New Roman"/>
          <w:sz w:val="24"/>
          <w:szCs w:val="20"/>
          <w:lang w:val="es-PR"/>
        </w:rPr>
        <w:t>3</w:t>
      </w:r>
      <w:r w:rsidR="004E5C5D">
        <w:rPr>
          <w:rFonts w:ascii="Book Antiqua" w:eastAsia="Times New Roman" w:hAnsi="Book Antiqua" w:cs="Times New Roman"/>
          <w:sz w:val="24"/>
          <w:szCs w:val="20"/>
          <w:vertAlign w:val="superscript"/>
          <w:lang w:val="es-PR"/>
        </w:rPr>
        <w:t>r</w:t>
      </w:r>
      <w:r w:rsidRPr="00A339A0">
        <w:rPr>
          <w:rFonts w:ascii="Book Antiqua" w:eastAsia="Times New Roman" w:hAnsi="Book Antiqua" w:cs="Times New Roman"/>
          <w:sz w:val="24"/>
          <w:szCs w:val="20"/>
          <w:vertAlign w:val="superscript"/>
          <w:lang w:val="es-PR"/>
        </w:rPr>
        <w:t>a.</w:t>
      </w:r>
      <w:r w:rsidRPr="00A339A0">
        <w:rPr>
          <w:rFonts w:ascii="Book Antiqua" w:eastAsia="Times New Roman" w:hAnsi="Book Antiqua" w:cs="Times New Roman"/>
          <w:sz w:val="24"/>
          <w:szCs w:val="20"/>
          <w:lang w:val="es-PR"/>
        </w:rPr>
        <w:tab/>
        <w:t>Sesión</w:t>
      </w:r>
    </w:p>
    <w:p w:rsidR="00162F37" w:rsidRPr="00A339A0" w:rsidRDefault="00162F37" w:rsidP="00162F37">
      <w:pPr>
        <w:tabs>
          <w:tab w:val="left" w:pos="648"/>
          <w:tab w:val="right" w:pos="7776"/>
          <w:tab w:val="left" w:pos="7848"/>
        </w:tabs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val="es-PR"/>
        </w:rPr>
      </w:pPr>
      <w:r w:rsidRPr="00A339A0">
        <w:rPr>
          <w:rFonts w:ascii="Book Antiqua" w:eastAsia="Times New Roman" w:hAnsi="Book Antiqua" w:cs="Times New Roman"/>
          <w:sz w:val="24"/>
          <w:szCs w:val="20"/>
          <w:lang w:val="es-PR"/>
        </w:rPr>
        <w:tab/>
        <w:t>Legislativa</w:t>
      </w:r>
      <w:r w:rsidRPr="00A339A0">
        <w:rPr>
          <w:rFonts w:ascii="Book Antiqua" w:eastAsia="Times New Roman" w:hAnsi="Book Antiqua" w:cs="Times New Roman"/>
          <w:sz w:val="24"/>
          <w:szCs w:val="20"/>
          <w:lang w:val="es-PR"/>
        </w:rPr>
        <w:tab/>
      </w:r>
      <w:r w:rsidRPr="00A339A0">
        <w:rPr>
          <w:rFonts w:ascii="Book Antiqua" w:eastAsia="Times New Roman" w:hAnsi="Book Antiqua" w:cs="Times New Roman"/>
          <w:sz w:val="24"/>
          <w:szCs w:val="20"/>
          <w:lang w:val="es-PR"/>
        </w:rPr>
        <w:tab/>
        <w:t>Ordinaria</w:t>
      </w:r>
    </w:p>
    <w:p w:rsidR="00162F37" w:rsidRPr="00A339A0" w:rsidRDefault="00162F37" w:rsidP="00162F37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val="es-PR"/>
        </w:rPr>
      </w:pPr>
    </w:p>
    <w:p w:rsidR="00162F37" w:rsidRPr="00A339A0" w:rsidRDefault="00162F37" w:rsidP="00162F3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val="es-PR"/>
        </w:rPr>
      </w:pPr>
      <w:r w:rsidRPr="00A339A0">
        <w:rPr>
          <w:rFonts w:ascii="Book Antiqua" w:eastAsia="Times New Roman" w:hAnsi="Book Antiqua" w:cs="Times New Roman"/>
          <w:b/>
          <w:sz w:val="36"/>
          <w:szCs w:val="36"/>
          <w:lang w:val="es-PR"/>
        </w:rPr>
        <w:t>SENADO DE PUERTO RICO</w:t>
      </w:r>
    </w:p>
    <w:p w:rsidR="00162F37" w:rsidRPr="00A339A0" w:rsidRDefault="00162F37" w:rsidP="00162F37">
      <w:pPr>
        <w:spacing w:before="240" w:after="0" w:line="240" w:lineRule="auto"/>
        <w:jc w:val="center"/>
        <w:rPr>
          <w:rFonts w:ascii="Book Antiqua" w:eastAsia="Times New Roman" w:hAnsi="Book Antiqua" w:cs="Times New Roman"/>
          <w:b/>
          <w:sz w:val="52"/>
          <w:szCs w:val="52"/>
          <w:lang w:val="es-PR"/>
        </w:rPr>
      </w:pPr>
      <w:r w:rsidRPr="00A339A0">
        <w:rPr>
          <w:rFonts w:ascii="Book Antiqua" w:eastAsia="Times New Roman" w:hAnsi="Book Antiqua" w:cs="Times New Roman"/>
          <w:b/>
          <w:sz w:val="52"/>
          <w:szCs w:val="52"/>
          <w:lang w:val="es-PR"/>
        </w:rPr>
        <w:t xml:space="preserve">R. del S. </w:t>
      </w:r>
      <w:r w:rsidR="00E94DBC">
        <w:rPr>
          <w:rFonts w:ascii="Book Antiqua" w:eastAsia="Times New Roman" w:hAnsi="Book Antiqua" w:cs="Times New Roman"/>
          <w:b/>
          <w:sz w:val="52"/>
          <w:szCs w:val="52"/>
          <w:lang w:val="es-PR"/>
        </w:rPr>
        <w:t>500</w:t>
      </w:r>
    </w:p>
    <w:p w:rsidR="00162F37" w:rsidRPr="00A339A0" w:rsidRDefault="004E5C5D" w:rsidP="00162F37">
      <w:pPr>
        <w:spacing w:before="240"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  <w:lang w:val="es-PR"/>
        </w:rPr>
      </w:pPr>
      <w:r>
        <w:rPr>
          <w:rFonts w:ascii="Book Antiqua" w:eastAsia="Times New Roman" w:hAnsi="Book Antiqua" w:cs="Times New Roman"/>
          <w:sz w:val="24"/>
          <w:szCs w:val="20"/>
          <w:lang w:val="es-PR"/>
        </w:rPr>
        <w:t>1</w:t>
      </w:r>
      <w:r w:rsidR="00162F37" w:rsidRPr="00A339A0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 de </w:t>
      </w:r>
      <w:r>
        <w:rPr>
          <w:rFonts w:ascii="Book Antiqua" w:eastAsia="Times New Roman" w:hAnsi="Book Antiqua" w:cs="Times New Roman"/>
          <w:sz w:val="24"/>
          <w:szCs w:val="20"/>
          <w:lang w:val="es-PR"/>
        </w:rPr>
        <w:t>abril de 2022</w:t>
      </w:r>
    </w:p>
    <w:p w:rsidR="00162F37" w:rsidRPr="00A339A0" w:rsidRDefault="00162F37" w:rsidP="00162F37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  <w:lang w:val="es-PR"/>
        </w:rPr>
      </w:pPr>
      <w:r w:rsidRPr="00A339A0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Presentada por </w:t>
      </w:r>
      <w:r>
        <w:rPr>
          <w:rFonts w:ascii="Book Antiqua" w:eastAsia="Times New Roman" w:hAnsi="Book Antiqua" w:cs="Times New Roman"/>
          <w:sz w:val="24"/>
          <w:szCs w:val="20"/>
          <w:lang w:val="es-PR"/>
        </w:rPr>
        <w:t>el seño</w:t>
      </w:r>
      <w:r w:rsidRPr="002A58EA">
        <w:rPr>
          <w:rFonts w:ascii="Book Antiqua" w:eastAsia="Times New Roman" w:hAnsi="Book Antiqua" w:cs="Times New Roman"/>
          <w:sz w:val="24"/>
          <w:szCs w:val="20"/>
          <w:lang w:val="es-PR"/>
        </w:rPr>
        <w:t>r</w:t>
      </w:r>
      <w:r w:rsidRPr="00A339A0">
        <w:rPr>
          <w:rFonts w:ascii="Book Antiqua" w:eastAsia="Times New Roman" w:hAnsi="Book Antiqua" w:cs="Times New Roman"/>
          <w:i/>
          <w:sz w:val="24"/>
          <w:szCs w:val="20"/>
          <w:lang w:val="es-PR"/>
        </w:rPr>
        <w:t xml:space="preserve"> Matías Rosario</w:t>
      </w:r>
    </w:p>
    <w:p w:rsidR="00162F37" w:rsidRPr="003D5A57" w:rsidRDefault="00162F37" w:rsidP="00162F37">
      <w:pPr>
        <w:spacing w:before="120"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0"/>
          <w:lang w:val="es-PR"/>
        </w:rPr>
      </w:pPr>
      <w:r w:rsidRPr="003D5A57">
        <w:rPr>
          <w:rFonts w:ascii="Book Antiqua" w:eastAsia="Times New Roman" w:hAnsi="Book Antiqua" w:cs="Times New Roman"/>
          <w:i/>
          <w:sz w:val="24"/>
          <w:szCs w:val="20"/>
          <w:lang w:val="es-PR"/>
        </w:rPr>
        <w:t xml:space="preserve">Referida a la Comisión de </w:t>
      </w:r>
      <w:r w:rsidR="003D5A57" w:rsidRPr="003D5A57">
        <w:rPr>
          <w:rFonts w:ascii="Book Antiqua" w:eastAsia="Times New Roman" w:hAnsi="Book Antiqua" w:cs="Times New Roman"/>
          <w:i/>
          <w:sz w:val="24"/>
          <w:szCs w:val="20"/>
          <w:lang w:val="es-PR"/>
        </w:rPr>
        <w:t xml:space="preserve">Asuntos Internos </w:t>
      </w:r>
    </w:p>
    <w:p w:rsidR="00162F37" w:rsidRPr="00A339A0" w:rsidRDefault="00162F37" w:rsidP="00162F37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val="es-PR"/>
        </w:rPr>
      </w:pPr>
    </w:p>
    <w:p w:rsidR="00162F37" w:rsidRPr="00A339A0" w:rsidRDefault="00162F37" w:rsidP="00162F3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0"/>
          <w:lang w:val="es-PR"/>
        </w:rPr>
      </w:pPr>
      <w:r w:rsidRPr="00A339A0">
        <w:rPr>
          <w:rFonts w:ascii="Book Antiqua" w:eastAsia="Times New Roman" w:hAnsi="Book Antiqua" w:cs="Times New Roman"/>
          <w:b/>
          <w:sz w:val="24"/>
          <w:szCs w:val="20"/>
          <w:lang w:val="es-PR"/>
        </w:rPr>
        <w:t>RESOLUCIÓN</w:t>
      </w:r>
    </w:p>
    <w:p w:rsidR="00162F37" w:rsidRPr="00A339A0" w:rsidRDefault="00162F37" w:rsidP="00162F37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val="es-PR"/>
        </w:rPr>
      </w:pPr>
    </w:p>
    <w:p w:rsidR="00162F37" w:rsidRPr="00493E99" w:rsidRDefault="00C25D3F" w:rsidP="00657F17">
      <w:pPr>
        <w:suppressLineNumbers/>
        <w:spacing w:after="0" w:line="240" w:lineRule="auto"/>
        <w:ind w:left="540" w:hanging="540"/>
        <w:jc w:val="both"/>
        <w:rPr>
          <w:rFonts w:ascii="Book Antiqua" w:eastAsia="Calibri" w:hAnsi="Book Antiqua" w:cs="Times New Roman"/>
          <w:sz w:val="24"/>
          <w:szCs w:val="24"/>
          <w:lang w:val="es-PR"/>
        </w:rPr>
      </w:pPr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Para ordenar a la Comisión Especial para la </w:t>
      </w:r>
      <w:proofErr w:type="spellStart"/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>Monitoría</w:t>
      </w:r>
      <w:proofErr w:type="spellEnd"/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Legislativa del Programa de Educación Especia</w:t>
      </w:r>
      <w:r w:rsidR="004E5C5D">
        <w:rPr>
          <w:rFonts w:ascii="Book Antiqua" w:eastAsia="Calibri" w:hAnsi="Book Antiqua" w:cs="Times New Roman"/>
          <w:sz w:val="24"/>
          <w:szCs w:val="24"/>
          <w:lang w:val="es-PR"/>
        </w:rPr>
        <w:t>l del Departamento de Educación</w:t>
      </w:r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del Senado de Puerto Rico</w:t>
      </w:r>
      <w:r w:rsidR="00DA75D7" w:rsidRPr="00493E99">
        <w:rPr>
          <w:rFonts w:ascii="Book Antiqua" w:eastAsia="Calibri" w:hAnsi="Book Antiqua" w:cs="Times New Roman"/>
          <w:sz w:val="24"/>
          <w:szCs w:val="24"/>
          <w:lang w:val="es-PR"/>
        </w:rPr>
        <w:t>,</w:t>
      </w:r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realizar una investigación exhaustiva sobre la efectividad de la implantación de la política pública educativa vigente del Departamento de Educación de Puerto Rico en las escuelas públicas del país</w:t>
      </w:r>
      <w:r w:rsidR="00332428"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y el cumplimiento de las disposiciones de</w:t>
      </w:r>
      <w:r w:rsidR="00C93703"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la </w:t>
      </w:r>
      <w:r w:rsidR="00025338"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Ley Núm. 85-2018, según enmendada, conocida como “Ley de Reforma Educativa de Puerto Rico”, y de la </w:t>
      </w:r>
      <w:r w:rsidR="00C93703" w:rsidRPr="00493E99">
        <w:rPr>
          <w:rFonts w:ascii="Book Antiqua" w:eastAsia="Calibri" w:hAnsi="Book Antiqua" w:cs="Times New Roman"/>
          <w:sz w:val="24"/>
          <w:szCs w:val="24"/>
          <w:lang w:val="es-PR"/>
        </w:rPr>
        <w:t>Ley Núm. 220-2012, conocida como “Ley para el Bienestar, Integración y Desarrollo de las personas con Autismo”</w:t>
      </w:r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, en lo referente a los estudiantes del programa de educación especial </w:t>
      </w:r>
      <w:r w:rsidR="004E5C5D">
        <w:rPr>
          <w:rFonts w:ascii="Book Antiqua" w:eastAsia="Calibri" w:hAnsi="Book Antiqua" w:cs="Times New Roman"/>
          <w:sz w:val="24"/>
          <w:szCs w:val="24"/>
          <w:lang w:val="es-PR"/>
        </w:rPr>
        <w:t>con</w:t>
      </w:r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autis</w:t>
      </w:r>
      <w:r w:rsidR="004E5C5D">
        <w:rPr>
          <w:rFonts w:ascii="Book Antiqua" w:eastAsia="Calibri" w:hAnsi="Book Antiqua" w:cs="Times New Roman"/>
          <w:sz w:val="24"/>
          <w:szCs w:val="24"/>
          <w:lang w:val="es-PR"/>
        </w:rPr>
        <w:t>mo</w:t>
      </w:r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y, en particular, de las diferentes estrategias o métodos empleados para su enseñanza; las alternativas disponibles para su ubicación; los currículos que les son impartidos; la necesidad y viabilidad de que el Departamento de Educación desarrolle escuelas especiales con modelo conductual para autismo y ubicaciones escolares a nivel público, especializadas en autismo (currículo </w:t>
      </w:r>
      <w:proofErr w:type="spellStart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>Star</w:t>
      </w:r>
      <w:proofErr w:type="spellEnd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>/Link</w:t>
      </w:r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>) en toda la Isla; las maneras de incentivar el desarrollo profesional de todos los componentes que int</w:t>
      </w:r>
      <w:r w:rsidR="0060348B" w:rsidRPr="00493E99">
        <w:rPr>
          <w:rFonts w:ascii="Book Antiqua" w:eastAsia="Calibri" w:hAnsi="Book Antiqua" w:cs="Times New Roman"/>
          <w:sz w:val="24"/>
          <w:szCs w:val="24"/>
          <w:lang w:val="es-PR"/>
        </w:rPr>
        <w:t>ervienen con los estudiantes que padecen de</w:t>
      </w:r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autismo; la identificación y creación de herramientas para facilitar la transición a la vida adulta de los jóvenes con autismo; la necesidad de atemperar la cantidad de estudiantes de Educación Especial por salón, según la necesidad individual de cada salón, no escuela; ampliar el uso del </w:t>
      </w:r>
      <w:proofErr w:type="spellStart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>team</w:t>
      </w:r>
      <w:proofErr w:type="spellEnd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 xml:space="preserve"> </w:t>
      </w:r>
      <w:proofErr w:type="spellStart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>teaching</w:t>
      </w:r>
      <w:proofErr w:type="spellEnd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 xml:space="preserve"> </w:t>
      </w:r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>en todos los salones que atiendan a estudiantes de Educación Especial; nombrar asistentes de maestros en todos los salones que atiendan a estudiantes de Educación Especial hasta el nivel superior y vocacional; promover la certificación en manejo conductual para crear servicios con métodos conductuales como ABA (</w:t>
      </w:r>
      <w:proofErr w:type="spellStart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>Applied</w:t>
      </w:r>
      <w:proofErr w:type="spellEnd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 xml:space="preserve"> </w:t>
      </w:r>
      <w:proofErr w:type="spellStart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>Behavioral</w:t>
      </w:r>
      <w:proofErr w:type="spellEnd"/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</w:t>
      </w:r>
      <w:proofErr w:type="spellStart"/>
      <w:r w:rsidRPr="00493E99">
        <w:rPr>
          <w:rFonts w:ascii="Book Antiqua" w:eastAsia="Calibri" w:hAnsi="Book Antiqua" w:cs="Times New Roman"/>
          <w:i/>
          <w:sz w:val="24"/>
          <w:szCs w:val="24"/>
          <w:lang w:val="es-PR"/>
        </w:rPr>
        <w:t>Analysis</w:t>
      </w:r>
      <w:proofErr w:type="spellEnd"/>
      <w:r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); y establecer escuelas vocacionales para la población con diversidad funcional y autismo en todas las regiones educativas del Departamento de Educación. </w:t>
      </w:r>
    </w:p>
    <w:p w:rsidR="00162F37" w:rsidRPr="00A339A0" w:rsidRDefault="00162F37" w:rsidP="00162F37">
      <w:pPr>
        <w:spacing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0"/>
          <w:lang w:val="es-PR"/>
        </w:rPr>
      </w:pPr>
    </w:p>
    <w:p w:rsidR="00162F37" w:rsidRPr="003D5A57" w:rsidRDefault="00162F37" w:rsidP="00162F37">
      <w:pPr>
        <w:spacing w:after="0" w:line="240" w:lineRule="auto"/>
        <w:ind w:firstLine="360"/>
        <w:jc w:val="center"/>
        <w:rPr>
          <w:rFonts w:ascii="Book Antiqua" w:eastAsia="Times New Roman" w:hAnsi="Book Antiqua" w:cs="Times New Roman"/>
          <w:b/>
          <w:sz w:val="20"/>
          <w:szCs w:val="24"/>
          <w:lang w:val="es-PR"/>
        </w:rPr>
      </w:pPr>
      <w:r w:rsidRPr="003D5A57">
        <w:rPr>
          <w:rFonts w:ascii="Book Antiqua" w:eastAsia="Times New Roman" w:hAnsi="Book Antiqua" w:cs="Times New Roman"/>
          <w:b/>
          <w:sz w:val="24"/>
          <w:szCs w:val="20"/>
          <w:lang w:val="es-PR"/>
        </w:rPr>
        <w:t>EXPOSICIÓN DE MOTIVOS</w:t>
      </w:r>
      <w:bookmarkStart w:id="0" w:name="_GoBack"/>
      <w:bookmarkEnd w:id="0"/>
    </w:p>
    <w:p w:rsidR="00162F37" w:rsidRPr="003D5A57" w:rsidRDefault="00162F37" w:rsidP="00162F37">
      <w:pPr>
        <w:spacing w:after="0" w:line="240" w:lineRule="auto"/>
        <w:ind w:firstLine="540"/>
        <w:jc w:val="both"/>
        <w:rPr>
          <w:rFonts w:ascii="Book Antiqua" w:eastAsia="Times New Roman" w:hAnsi="Book Antiqua" w:cs="Times New Roman"/>
          <w:sz w:val="16"/>
          <w:szCs w:val="16"/>
          <w:lang w:val="es-PR"/>
        </w:rPr>
      </w:pPr>
    </w:p>
    <w:p w:rsidR="00E13E14" w:rsidRDefault="00FE48E3" w:rsidP="003D5A57">
      <w:pPr>
        <w:tabs>
          <w:tab w:val="left" w:pos="360"/>
        </w:tabs>
        <w:spacing w:before="120" w:after="120" w:line="36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val="es-PR"/>
        </w:rPr>
      </w:pPr>
      <w:r>
        <w:rPr>
          <w:rFonts w:ascii="Book Antiqua" w:eastAsia="Times New Roman" w:hAnsi="Book Antiqua" w:cs="Times New Roman"/>
          <w:sz w:val="24"/>
          <w:szCs w:val="24"/>
          <w:lang w:val="es-PR"/>
        </w:rPr>
        <w:t>La Ley Núm. 85-2018, según enmendada, conocida como “Ley de Reforma Educativa de Puerto Rico”, consigna, como parte de la Política Pública que establece, que “[l]a educación especial debe proveer a los estudiantes que sirve, una instrucción de calidad, que reconozca y atienda sus necesidades particulares.” Consecuentemente, todo estudiante, perteneciente al Sistema de Educación Pública, que padezca de alguna discapacidad física, mental o necesidad especial, goza del derecho a recibir los servicios necesarios según su condición, y a que se le garantice un acomodo razonable acorde con sus</w:t>
      </w:r>
      <w:r w:rsidR="001221C1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necesidades. Como parte de la Política P</w:t>
      </w:r>
      <w:r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ública del Departamento de Educación, se declara, además, “que el estudiante con discapacidad recibirá una educación pública, gratuita y apropiada, fundamentada en una evaluación diseñada especialmente para atender sus necesidades particulares, </w:t>
      </w:r>
      <w:r w:rsidRPr="0009474B">
        <w:rPr>
          <w:rFonts w:ascii="Book Antiqua" w:eastAsia="Times New Roman" w:hAnsi="Book Antiqua" w:cs="Times New Roman"/>
          <w:sz w:val="24"/>
          <w:szCs w:val="24"/>
          <w:lang w:val="es-PR"/>
        </w:rPr>
        <w:t>en el ambiente menos restrictivo</w:t>
      </w:r>
      <w:r>
        <w:rPr>
          <w:rFonts w:ascii="Book Antiqua" w:eastAsia="Times New Roman" w:hAnsi="Book Antiqua" w:cs="Times New Roman"/>
          <w:sz w:val="24"/>
          <w:szCs w:val="24"/>
          <w:lang w:val="es-PR"/>
        </w:rPr>
        <w:t>.”</w:t>
      </w:r>
    </w:p>
    <w:p w:rsidR="008B779D" w:rsidRDefault="00E13E14" w:rsidP="003D5A57">
      <w:pPr>
        <w:tabs>
          <w:tab w:val="left" w:pos="360"/>
        </w:tabs>
        <w:spacing w:before="120" w:after="120" w:line="36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val="es-PR"/>
        </w:rPr>
      </w:pPr>
      <w:r>
        <w:rPr>
          <w:rFonts w:ascii="Book Antiqua" w:eastAsia="Times New Roman" w:hAnsi="Book Antiqua" w:cs="Times New Roman"/>
          <w:sz w:val="24"/>
          <w:szCs w:val="24"/>
          <w:lang w:val="es-PR"/>
        </w:rPr>
        <w:t>Dentro de</w:t>
      </w:r>
      <w:r w:rsidR="00ED2CFA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la población estudiantil</w:t>
      </w:r>
      <w:r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del Programa de Educación Especial del Departam</w:t>
      </w:r>
      <w:r w:rsidR="00ED2CFA">
        <w:rPr>
          <w:rFonts w:ascii="Book Antiqua" w:eastAsia="Times New Roman" w:hAnsi="Book Antiqua" w:cs="Times New Roman"/>
          <w:sz w:val="24"/>
          <w:szCs w:val="24"/>
          <w:lang w:val="es-PR"/>
        </w:rPr>
        <w:t>ento de E</w:t>
      </w:r>
      <w:r w:rsidR="00B52B10">
        <w:rPr>
          <w:rFonts w:ascii="Book Antiqua" w:eastAsia="Times New Roman" w:hAnsi="Book Antiqua" w:cs="Times New Roman"/>
          <w:sz w:val="24"/>
          <w:szCs w:val="24"/>
          <w:lang w:val="es-PR"/>
        </w:rPr>
        <w:t>ducación, se encuentra la categoría</w:t>
      </w:r>
      <w:r w:rsidR="00ED2CFA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de</w:t>
      </w:r>
      <w:r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los estudiantes que padecen</w:t>
      </w:r>
      <w:r w:rsidR="0009474B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de A</w:t>
      </w:r>
      <w:r>
        <w:rPr>
          <w:rFonts w:ascii="Book Antiqua" w:eastAsia="Times New Roman" w:hAnsi="Book Antiqua" w:cs="Times New Roman"/>
          <w:sz w:val="24"/>
          <w:szCs w:val="24"/>
          <w:lang w:val="es-PR"/>
        </w:rPr>
        <w:t>utismo</w:t>
      </w:r>
      <w:r w:rsidR="008B779D">
        <w:rPr>
          <w:rFonts w:ascii="Book Antiqua" w:eastAsia="Times New Roman" w:hAnsi="Book Antiqua" w:cs="Times New Roman"/>
          <w:sz w:val="24"/>
          <w:szCs w:val="24"/>
          <w:lang w:val="es-PR"/>
        </w:rPr>
        <w:t>, definido como un “[t]</w:t>
      </w:r>
      <w:proofErr w:type="spellStart"/>
      <w:r w:rsidR="008B779D">
        <w:rPr>
          <w:rFonts w:ascii="Book Antiqua" w:eastAsia="Times New Roman" w:hAnsi="Book Antiqua" w:cs="Times New Roman"/>
          <w:sz w:val="24"/>
          <w:szCs w:val="24"/>
          <w:lang w:val="es-PR"/>
        </w:rPr>
        <w:t>rastorno</w:t>
      </w:r>
      <w:proofErr w:type="spellEnd"/>
      <w:r w:rsidR="008B779D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del </w:t>
      </w:r>
      <w:proofErr w:type="spellStart"/>
      <w:r w:rsidR="008B779D">
        <w:rPr>
          <w:rFonts w:ascii="Book Antiqua" w:eastAsia="Times New Roman" w:hAnsi="Book Antiqua" w:cs="Times New Roman"/>
          <w:sz w:val="24"/>
          <w:szCs w:val="24"/>
          <w:lang w:val="es-PR"/>
        </w:rPr>
        <w:t>neuro</w:t>
      </w:r>
      <w:proofErr w:type="spellEnd"/>
      <w:r w:rsidR="008B779D">
        <w:rPr>
          <w:rFonts w:ascii="Book Antiqua" w:eastAsia="Times New Roman" w:hAnsi="Book Antiqua" w:cs="Times New Roman"/>
          <w:sz w:val="24"/>
          <w:szCs w:val="24"/>
          <w:lang w:val="es-PR"/>
        </w:rPr>
        <w:t>-desarrollo, … que típicamente aparece durante los tres primeros años de vida. Las personas con autismo pueden presentar síntomas relacionados al deterioro cualitativo en las interacciones y patrones sociales, deterioro cualitativo en la comunicación y patrones de comportamiento estereotipados y repetitivos.”</w:t>
      </w:r>
      <w:r w:rsidR="00903D01" w:rsidRPr="00903D01">
        <w:rPr>
          <w:rStyle w:val="FootnoteReference"/>
          <w:rFonts w:ascii="Book Antiqua" w:eastAsia="Times New Roman" w:hAnsi="Book Antiqua" w:cs="Times New Roman"/>
          <w:b/>
          <w:sz w:val="24"/>
          <w:szCs w:val="24"/>
          <w:lang w:val="es-PR"/>
        </w:rPr>
        <w:footnoteReference w:id="1"/>
      </w:r>
      <w:r w:rsidR="008B779D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Disponiéndose, que dicha “… condición causa un impedimento severo y profundo en las cogniciones, el pensamiento, la sensación, el lenguaje, y la capacidad para relacionarse con otros que continúan manifestándose y agravándose a lo largo del ciclo de vida.</w:t>
      </w:r>
      <w:r w:rsidR="00903D01">
        <w:rPr>
          <w:rFonts w:ascii="Book Antiqua" w:eastAsia="Times New Roman" w:hAnsi="Book Antiqua" w:cs="Times New Roman"/>
          <w:sz w:val="24"/>
          <w:szCs w:val="24"/>
          <w:lang w:val="es-PR"/>
        </w:rPr>
        <w:t>”</w:t>
      </w:r>
      <w:r w:rsidR="00903D01" w:rsidRPr="00903D01">
        <w:rPr>
          <w:rStyle w:val="FootnoteReference"/>
          <w:rFonts w:ascii="Book Antiqua" w:eastAsia="Times New Roman" w:hAnsi="Book Antiqua" w:cs="Times New Roman"/>
          <w:b/>
          <w:sz w:val="24"/>
          <w:szCs w:val="24"/>
          <w:lang w:val="es-PR"/>
        </w:rPr>
        <w:footnoteReference w:id="2"/>
      </w:r>
      <w:r w:rsidR="00903D01" w:rsidRPr="00903D01">
        <w:rPr>
          <w:rFonts w:ascii="Book Antiqua" w:eastAsia="Times New Roman" w:hAnsi="Book Antiqua" w:cs="Times New Roman"/>
          <w:b/>
          <w:sz w:val="24"/>
          <w:szCs w:val="24"/>
          <w:lang w:val="es-PR"/>
        </w:rPr>
        <w:t xml:space="preserve"> </w:t>
      </w:r>
      <w:r w:rsidR="00903D01">
        <w:rPr>
          <w:rFonts w:ascii="Book Antiqua" w:eastAsia="Times New Roman" w:hAnsi="Book Antiqua" w:cs="Times New Roman"/>
          <w:sz w:val="24"/>
          <w:szCs w:val="24"/>
          <w:lang w:val="es-PR"/>
        </w:rPr>
        <w:t>Se ha corroborado que “[l]as</w:t>
      </w:r>
      <w:r w:rsidR="008B779D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personas con este desorden poseen dificultad en el aprendizaje, la atención, desarrollo e interacción social, modulación de sensaciones y emociones. Además, poseen formas estereotipadas e inusuales de reaccionar ante situaciones sociales.”</w:t>
      </w:r>
      <w:r w:rsidR="00903D01" w:rsidRPr="00903D01">
        <w:rPr>
          <w:rStyle w:val="FootnoteReference"/>
          <w:rFonts w:ascii="Book Antiqua" w:eastAsia="Times New Roman" w:hAnsi="Book Antiqua" w:cs="Times New Roman"/>
          <w:b/>
          <w:sz w:val="24"/>
          <w:szCs w:val="24"/>
          <w:lang w:val="es-PR"/>
        </w:rPr>
        <w:footnoteReference w:id="3"/>
      </w:r>
      <w:r w:rsidR="008B779D" w:rsidRPr="00903D01">
        <w:rPr>
          <w:rFonts w:ascii="Book Antiqua" w:eastAsia="Times New Roman" w:hAnsi="Book Antiqua" w:cs="Times New Roman"/>
          <w:b/>
          <w:sz w:val="24"/>
          <w:szCs w:val="24"/>
          <w:lang w:val="es-PR"/>
        </w:rPr>
        <w:t xml:space="preserve"> </w:t>
      </w:r>
      <w:r w:rsidR="00ED2CFA" w:rsidRPr="00903D01">
        <w:rPr>
          <w:rFonts w:ascii="Book Antiqua" w:eastAsia="Times New Roman" w:hAnsi="Book Antiqua" w:cs="Times New Roman"/>
          <w:b/>
          <w:sz w:val="24"/>
          <w:szCs w:val="24"/>
          <w:lang w:val="es-PR"/>
        </w:rPr>
        <w:t xml:space="preserve"> </w:t>
      </w:r>
    </w:p>
    <w:p w:rsidR="00D27ABA" w:rsidRDefault="00B91C33" w:rsidP="00162F37">
      <w:pPr>
        <w:tabs>
          <w:tab w:val="left" w:pos="360"/>
        </w:tabs>
        <w:spacing w:after="0" w:line="36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val="es-PR"/>
        </w:rPr>
      </w:pPr>
      <w:r>
        <w:rPr>
          <w:rFonts w:ascii="Book Antiqua" w:eastAsia="Times New Roman" w:hAnsi="Book Antiqua" w:cs="Times New Roman"/>
          <w:sz w:val="24"/>
          <w:szCs w:val="24"/>
          <w:lang w:val="es-PR"/>
        </w:rPr>
        <w:t>Un menor de cada sesenta y dos (62) nacidos en Puerto Rico padece de Autismo,</w:t>
      </w:r>
      <w:r w:rsidRPr="0060348B">
        <w:rPr>
          <w:rStyle w:val="FootnoteReference"/>
          <w:rFonts w:ascii="Book Antiqua" w:eastAsia="Times New Roman" w:hAnsi="Book Antiqua" w:cs="Times New Roman"/>
          <w:b/>
          <w:sz w:val="24"/>
          <w:szCs w:val="24"/>
          <w:lang w:val="es-PR"/>
        </w:rPr>
        <w:footnoteReference w:id="4"/>
      </w:r>
      <w:r w:rsidRPr="0060348B">
        <w:rPr>
          <w:rFonts w:ascii="Book Antiqua" w:eastAsia="Times New Roman" w:hAnsi="Book Antiqua" w:cs="Times New Roman"/>
          <w:b/>
          <w:sz w:val="24"/>
          <w:szCs w:val="24"/>
          <w:lang w:val="es-PR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lo cual es alarmante. </w:t>
      </w:r>
      <w:r w:rsidR="00ED2CFA">
        <w:rPr>
          <w:rFonts w:ascii="Book Antiqua" w:eastAsia="Times New Roman" w:hAnsi="Book Antiqua" w:cs="Times New Roman"/>
          <w:sz w:val="24"/>
          <w:szCs w:val="24"/>
          <w:lang w:val="es-PR"/>
        </w:rPr>
        <w:t>Según las cifras estad</w:t>
      </w:r>
      <w:r w:rsidR="008B779D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ísticas </w:t>
      </w:r>
      <w:r w:rsidR="00ED2CFA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del referido Departamento, </w:t>
      </w:r>
      <w:r w:rsidR="00D27ABA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puede notarse que la población estudiantil integrada por niños y jóvenes con autismo </w:t>
      </w:r>
      <w:r w:rsidR="00C93703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del Programa de Educación Especial, </w:t>
      </w:r>
      <w:r w:rsidR="00B52B10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tiene una tendencia de </w:t>
      </w:r>
      <w:r w:rsidR="00D27ABA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crecimiento </w:t>
      </w:r>
      <w:r w:rsidR="00B52B10">
        <w:rPr>
          <w:rFonts w:ascii="Book Antiqua" w:eastAsia="Times New Roman" w:hAnsi="Book Antiqua" w:cs="Times New Roman"/>
          <w:sz w:val="24"/>
          <w:szCs w:val="24"/>
          <w:lang w:val="es-PR"/>
        </w:rPr>
        <w:t>anual</w:t>
      </w:r>
      <w:r w:rsidR="00D27ABA">
        <w:rPr>
          <w:rFonts w:ascii="Book Antiqua" w:eastAsia="Times New Roman" w:hAnsi="Book Antiqua" w:cs="Times New Roman"/>
          <w:sz w:val="24"/>
          <w:szCs w:val="24"/>
          <w:lang w:val="es-PR"/>
        </w:rPr>
        <w:t>:</w:t>
      </w:r>
      <w:r w:rsidR="00B52B10" w:rsidRPr="00B52B10">
        <w:rPr>
          <w:rStyle w:val="FootnoteReference"/>
          <w:rFonts w:ascii="Book Antiqua" w:eastAsia="Times New Roman" w:hAnsi="Book Antiqua" w:cs="Times New Roman"/>
          <w:b/>
          <w:sz w:val="24"/>
          <w:szCs w:val="24"/>
          <w:lang w:val="es-PR"/>
        </w:rPr>
        <w:footnoteReference w:id="5"/>
      </w:r>
    </w:p>
    <w:p w:rsidR="00D27ABA" w:rsidRDefault="00D27ABA" w:rsidP="00B52B10">
      <w:pPr>
        <w:tabs>
          <w:tab w:val="left" w:pos="360"/>
        </w:tabs>
        <w:spacing w:after="0" w:line="360" w:lineRule="auto"/>
        <w:ind w:firstLine="720"/>
        <w:jc w:val="center"/>
        <w:rPr>
          <w:rFonts w:ascii="Book Antiqua" w:eastAsia="Times New Roman" w:hAnsi="Book Antiqua"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Ind w:w="2417" w:type="dxa"/>
        <w:tblLook w:val="04A0" w:firstRow="1" w:lastRow="0" w:firstColumn="1" w:lastColumn="0" w:noHBand="0" w:noVBand="1"/>
      </w:tblPr>
      <w:tblGrid>
        <w:gridCol w:w="1885"/>
        <w:gridCol w:w="2700"/>
      </w:tblGrid>
      <w:tr w:rsidR="00D27ABA" w:rsidRPr="004E5C5D" w:rsidTr="00305F5C">
        <w:tc>
          <w:tcPr>
            <w:tcW w:w="1885" w:type="dxa"/>
            <w:vAlign w:val="center"/>
          </w:tcPr>
          <w:p w:rsidR="00D27ABA" w:rsidRPr="0060348B" w:rsidRDefault="00D27ABA" w:rsidP="00305F5C">
            <w:pPr>
              <w:tabs>
                <w:tab w:val="left" w:pos="360"/>
              </w:tabs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PR"/>
              </w:rPr>
            </w:pPr>
            <w:r w:rsidRPr="0060348B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PR"/>
              </w:rPr>
              <w:t>Año Escolar</w:t>
            </w:r>
          </w:p>
        </w:tc>
        <w:tc>
          <w:tcPr>
            <w:tcW w:w="2700" w:type="dxa"/>
            <w:vAlign w:val="center"/>
          </w:tcPr>
          <w:p w:rsidR="00D27ABA" w:rsidRPr="0060348B" w:rsidRDefault="00D27ABA" w:rsidP="00305F5C">
            <w:pPr>
              <w:tabs>
                <w:tab w:val="left" w:pos="360"/>
              </w:tabs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PR"/>
              </w:rPr>
            </w:pPr>
            <w:r w:rsidRPr="0060348B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PR"/>
              </w:rPr>
              <w:t>Número Total de niños y jóvenes con Autismo</w:t>
            </w:r>
          </w:p>
        </w:tc>
      </w:tr>
      <w:tr w:rsidR="00D27ABA" w:rsidTr="00305F5C">
        <w:tc>
          <w:tcPr>
            <w:tcW w:w="1885" w:type="dxa"/>
          </w:tcPr>
          <w:p w:rsidR="00D27ABA" w:rsidRDefault="00D27ABA" w:rsidP="00B52B10">
            <w:pPr>
              <w:tabs>
                <w:tab w:val="left" w:pos="360"/>
              </w:tabs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  <w:t>2017-2018</w:t>
            </w:r>
          </w:p>
        </w:tc>
        <w:tc>
          <w:tcPr>
            <w:tcW w:w="2700" w:type="dxa"/>
          </w:tcPr>
          <w:p w:rsidR="00D27ABA" w:rsidRDefault="00B52B10" w:rsidP="00B52B10">
            <w:pPr>
              <w:tabs>
                <w:tab w:val="left" w:pos="360"/>
              </w:tabs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  <w:t>5,430</w:t>
            </w:r>
          </w:p>
        </w:tc>
      </w:tr>
      <w:tr w:rsidR="00D27ABA" w:rsidTr="00305F5C">
        <w:tc>
          <w:tcPr>
            <w:tcW w:w="1885" w:type="dxa"/>
          </w:tcPr>
          <w:p w:rsidR="00D27ABA" w:rsidRDefault="00D27ABA" w:rsidP="00B52B10">
            <w:pPr>
              <w:tabs>
                <w:tab w:val="left" w:pos="360"/>
              </w:tabs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  <w:t>2018-2019</w:t>
            </w:r>
          </w:p>
        </w:tc>
        <w:tc>
          <w:tcPr>
            <w:tcW w:w="2700" w:type="dxa"/>
          </w:tcPr>
          <w:p w:rsidR="00D27ABA" w:rsidRDefault="00B52B10" w:rsidP="00B52B10">
            <w:pPr>
              <w:tabs>
                <w:tab w:val="left" w:pos="360"/>
              </w:tabs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  <w:t>5,858</w:t>
            </w:r>
          </w:p>
        </w:tc>
      </w:tr>
      <w:tr w:rsidR="00D27ABA" w:rsidTr="00305F5C">
        <w:tc>
          <w:tcPr>
            <w:tcW w:w="1885" w:type="dxa"/>
          </w:tcPr>
          <w:p w:rsidR="00D27ABA" w:rsidRDefault="00D27ABA" w:rsidP="00B52B10">
            <w:pPr>
              <w:tabs>
                <w:tab w:val="left" w:pos="360"/>
              </w:tabs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  <w:t>2019-2020</w:t>
            </w:r>
          </w:p>
        </w:tc>
        <w:tc>
          <w:tcPr>
            <w:tcW w:w="2700" w:type="dxa"/>
          </w:tcPr>
          <w:p w:rsidR="00D27ABA" w:rsidRDefault="00B52B10" w:rsidP="00B52B10">
            <w:pPr>
              <w:tabs>
                <w:tab w:val="left" w:pos="360"/>
              </w:tabs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s-PR"/>
              </w:rPr>
              <w:t>6,600</w:t>
            </w:r>
          </w:p>
        </w:tc>
      </w:tr>
    </w:tbl>
    <w:p w:rsidR="00D27ABA" w:rsidRDefault="00D27ABA" w:rsidP="00B52B10">
      <w:pPr>
        <w:tabs>
          <w:tab w:val="left" w:pos="360"/>
        </w:tabs>
        <w:spacing w:after="0" w:line="360" w:lineRule="auto"/>
        <w:ind w:firstLine="720"/>
        <w:jc w:val="center"/>
        <w:rPr>
          <w:rFonts w:ascii="Book Antiqua" w:eastAsia="Times New Roman" w:hAnsi="Book Antiqua" w:cs="Times New Roman"/>
          <w:sz w:val="24"/>
          <w:szCs w:val="24"/>
          <w:lang w:val="es-PR"/>
        </w:rPr>
      </w:pPr>
    </w:p>
    <w:p w:rsidR="00162F37" w:rsidRDefault="00CF41C6" w:rsidP="0085413A">
      <w:pPr>
        <w:tabs>
          <w:tab w:val="left" w:pos="360"/>
        </w:tabs>
        <w:spacing w:after="0" w:line="36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val="es-PR"/>
        </w:rPr>
      </w:pPr>
      <w:r>
        <w:rPr>
          <w:rFonts w:ascii="Book Antiqua" w:eastAsia="Times New Roman" w:hAnsi="Book Antiqua" w:cs="Times New Roman"/>
          <w:sz w:val="24"/>
          <w:szCs w:val="24"/>
          <w:lang w:val="es-PR"/>
        </w:rPr>
        <w:t>Por lo cual, en consideración a los retos enfrentados por los estudiantes con autismo del Programa de Educación Especial, así como sus padres o encargados, por las limitaciones en los recursos humanos y fiscales disponibles para el Departamento de Educación</w:t>
      </w:r>
      <w:r w:rsidR="0085413A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y el impacto de la pandemia del COVID-19 en Puerto Rico</w:t>
      </w:r>
      <w:r w:rsidR="00025338">
        <w:rPr>
          <w:rFonts w:ascii="Book Antiqua" w:eastAsia="Times New Roman" w:hAnsi="Book Antiqua" w:cs="Times New Roman"/>
          <w:sz w:val="24"/>
          <w:szCs w:val="24"/>
          <w:lang w:val="es-PR"/>
        </w:rPr>
        <w:t>, entre otros fenómenos naturales acontecidos en la Isla</w:t>
      </w:r>
      <w:r>
        <w:rPr>
          <w:rFonts w:ascii="Book Antiqua" w:eastAsia="Times New Roman" w:hAnsi="Book Antiqua" w:cs="Times New Roman"/>
          <w:sz w:val="24"/>
          <w:szCs w:val="24"/>
          <w:lang w:val="es-PR"/>
        </w:rPr>
        <w:t>, e</w:t>
      </w:r>
      <w:r w:rsidR="0085413A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ste Cuerpo Legislativo </w:t>
      </w:r>
      <w:r>
        <w:rPr>
          <w:rFonts w:ascii="Book Antiqua" w:eastAsia="Times New Roman" w:hAnsi="Book Antiqua" w:cs="Times New Roman"/>
          <w:sz w:val="24"/>
          <w:szCs w:val="24"/>
          <w:lang w:val="es-PR"/>
        </w:rPr>
        <w:t>conside</w:t>
      </w:r>
      <w:r w:rsidR="0085413A"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ra necesario ordenar a su </w:t>
      </w:r>
      <w:r w:rsidR="0085413A"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Comisión Especial para la </w:t>
      </w:r>
      <w:proofErr w:type="spellStart"/>
      <w:r w:rsidR="0085413A" w:rsidRPr="00493E99">
        <w:rPr>
          <w:rFonts w:ascii="Book Antiqua" w:eastAsia="Calibri" w:hAnsi="Book Antiqua" w:cs="Times New Roman"/>
          <w:sz w:val="24"/>
          <w:szCs w:val="24"/>
          <w:lang w:val="es-PR"/>
        </w:rPr>
        <w:t>Monitoría</w:t>
      </w:r>
      <w:proofErr w:type="spellEnd"/>
      <w:r w:rsidR="0085413A" w:rsidRPr="00493E99">
        <w:rPr>
          <w:rFonts w:ascii="Book Antiqua" w:eastAsia="Calibri" w:hAnsi="Book Antiqua" w:cs="Times New Roman"/>
          <w:sz w:val="24"/>
          <w:szCs w:val="24"/>
          <w:lang w:val="es-PR"/>
        </w:rPr>
        <w:t xml:space="preserve"> Legislativa del Programa de Educación Especial del Departamento de Educación realizar la presente investigación.</w:t>
      </w:r>
      <w:r>
        <w:rPr>
          <w:rFonts w:ascii="Book Antiqua" w:eastAsia="Times New Roman" w:hAnsi="Book Antiqua" w:cs="Times New Roman"/>
          <w:sz w:val="24"/>
          <w:szCs w:val="24"/>
          <w:lang w:val="es-PR"/>
        </w:rPr>
        <w:t xml:space="preserve"> </w:t>
      </w:r>
    </w:p>
    <w:p w:rsidR="003D5A57" w:rsidRPr="003D5A57" w:rsidRDefault="003D5A57" w:rsidP="0085413A">
      <w:pPr>
        <w:tabs>
          <w:tab w:val="left" w:pos="360"/>
        </w:tabs>
        <w:spacing w:after="0" w:line="360" w:lineRule="auto"/>
        <w:ind w:firstLine="720"/>
        <w:jc w:val="both"/>
        <w:rPr>
          <w:rFonts w:ascii="Book Antiqua" w:eastAsia="Times New Roman" w:hAnsi="Book Antiqua" w:cs="Times New Roman"/>
          <w:sz w:val="8"/>
          <w:szCs w:val="8"/>
          <w:lang w:val="es-PR"/>
        </w:rPr>
      </w:pPr>
    </w:p>
    <w:p w:rsidR="00162F37" w:rsidRPr="003D5A57" w:rsidRDefault="00162F37" w:rsidP="00162F3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Book Antiqua" w:eastAsia="Times New Roman" w:hAnsi="Book Antiqua" w:cs="Times New Roman"/>
          <w:b/>
          <w:iCs/>
          <w:spacing w:val="-3"/>
          <w:sz w:val="24"/>
          <w:szCs w:val="24"/>
          <w:lang w:val="es-PR"/>
        </w:rPr>
      </w:pPr>
      <w:r w:rsidRPr="003D5A57">
        <w:rPr>
          <w:rFonts w:ascii="Book Antiqua" w:eastAsia="Times New Roman" w:hAnsi="Book Antiqua" w:cs="Times New Roman"/>
          <w:b/>
          <w:iCs/>
          <w:spacing w:val="-3"/>
          <w:sz w:val="24"/>
          <w:szCs w:val="24"/>
          <w:lang w:val="es-PR"/>
        </w:rPr>
        <w:t>RESUÉLVESE POR EL SENADO DE PUERTO RICO:</w:t>
      </w:r>
    </w:p>
    <w:p w:rsidR="00162F37" w:rsidRPr="00A339A0" w:rsidRDefault="00162F37" w:rsidP="00162F37">
      <w:pPr>
        <w:widowControl w:val="0"/>
        <w:tabs>
          <w:tab w:val="left" w:pos="-1440"/>
          <w:tab w:val="left" w:pos="-720"/>
        </w:tabs>
        <w:suppressAutoHyphens/>
        <w:autoSpaceDE w:val="0"/>
        <w:autoSpaceDN w:val="0"/>
        <w:adjustRightInd w:val="0"/>
        <w:spacing w:after="0" w:line="480" w:lineRule="atLeast"/>
        <w:jc w:val="both"/>
        <w:rPr>
          <w:rFonts w:ascii="Book Antiqua" w:eastAsia="Times New Roman" w:hAnsi="Book Antiqua" w:cs="Times New Roman"/>
          <w:iCs/>
          <w:spacing w:val="-3"/>
          <w:sz w:val="24"/>
          <w:szCs w:val="24"/>
          <w:lang w:val="es-PR"/>
        </w:rPr>
        <w:sectPr w:rsidR="00162F37" w:rsidRPr="00A339A0" w:rsidSect="00E13E14">
          <w:headerReference w:type="default" r:id="rId7"/>
          <w:pgSz w:w="12240" w:h="15840" w:code="1"/>
          <w:pgMar w:top="1440" w:right="1440" w:bottom="1440" w:left="1440" w:header="720" w:footer="1440" w:gutter="0"/>
          <w:pgNumType w:start="1"/>
          <w:cols w:space="720"/>
          <w:noEndnote/>
          <w:titlePg/>
          <w:docGrid w:linePitch="326"/>
        </w:sectPr>
      </w:pPr>
    </w:p>
    <w:p w:rsidR="00BE2AA4" w:rsidRDefault="00162F37" w:rsidP="00BE2AA4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</w:pPr>
      <w:r w:rsidRPr="00A339A0">
        <w:rPr>
          <w:rFonts w:ascii="Book Antiqua" w:eastAsia="Times New Roman" w:hAnsi="Book Antiqua" w:cs="Times New Roman"/>
          <w:snapToGrid w:val="0"/>
          <w:sz w:val="24"/>
          <w:szCs w:val="24"/>
          <w:lang w:val="es-ES_tradnl"/>
        </w:rPr>
        <w:t xml:space="preserve">Sección 1.- Se </w:t>
      </w:r>
      <w:r w:rsidRPr="00A339A0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>ordena</w:t>
      </w:r>
      <w:r w:rsidR="00DA75D7" w:rsidRPr="00DA75D7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 xml:space="preserve"> a la Comisión Especial para la </w:t>
      </w:r>
      <w:proofErr w:type="spellStart"/>
      <w:r w:rsidR="00DA75D7" w:rsidRPr="00DA75D7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>Monitoría</w:t>
      </w:r>
      <w:proofErr w:type="spellEnd"/>
      <w:r w:rsidR="00DA75D7" w:rsidRPr="00DA75D7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 xml:space="preserve"> Legislativa del Programa de Educación Especial del Departamento de Educación, del Senado de Puerto</w:t>
      </w:r>
      <w:r w:rsidR="00DA75D7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> </w:t>
      </w:r>
      <w:r w:rsidR="00DA75D7" w:rsidRPr="00DA75D7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 xml:space="preserve">Rico, </w:t>
      </w:r>
      <w:r w:rsidR="00BE2AA4" w:rsidRPr="00BE2AA4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>realizar una investigación exhaustiva sobre la efectividad de la implantación de la política pública educativa vigente del Departamento de Educación de Puerto Rico en las escuelas públicas del país y el cumplimiento de las disposiciones de la Ley Núm.</w:t>
      </w:r>
      <w:r w:rsidR="00BE2AA4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> 85-2018, según enmendada, conocida como “</w:t>
      </w:r>
      <w:r w:rsidR="00732868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 xml:space="preserve">Ley de Reforma Educativa de Puerto Rico”, y de la Ley Núm. </w:t>
      </w:r>
      <w:r w:rsidR="00BE2AA4" w:rsidRPr="00BE2AA4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 xml:space="preserve">220-2012, conocida como “Ley para el Bienestar, Integración y Desarrollo de las personas con Autismo”, en lo referente a los estudiantes del programa de educación especial que son autistas y, en particular, de las diferentes estrategias o métodos empleados para su enseñanza; las alternativas disponibles para su ubicación; los currículos que les son impartidos; la necesidad y viabilidad de que el Departamento de Educación desarrolle escuelas especiales con modelo conductual para autismo y ubicaciones escolares a nivel público, especializadas en autismo (currículo </w:t>
      </w:r>
      <w:proofErr w:type="spellStart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>Star</w:t>
      </w:r>
      <w:proofErr w:type="spellEnd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>/Link</w:t>
      </w:r>
      <w:r w:rsidR="00BE2AA4" w:rsidRPr="00BE2AA4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 xml:space="preserve">) en toda la Isla; las maneras de incentivar el desarrollo profesional de todos los componentes que intervienen con los estudiantes que padecen de autismo; la identificación y creación de herramientas para facilitar la transición a la vida adulta de los jóvenes con autismo; la necesidad de atemperar la cantidad de estudiantes de Educación Especial por salón, según la necesidad individual de cada salón, no </w:t>
      </w:r>
      <w:r w:rsidR="00BE2AA4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 xml:space="preserve">la </w:t>
      </w:r>
      <w:r w:rsidR="00BE2AA4" w:rsidRPr="00BE2AA4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 xml:space="preserve">escuela; ampliar el uso del </w:t>
      </w:r>
      <w:proofErr w:type="spellStart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>team</w:t>
      </w:r>
      <w:proofErr w:type="spellEnd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 xml:space="preserve"> </w:t>
      </w:r>
      <w:proofErr w:type="spellStart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>teaching</w:t>
      </w:r>
      <w:proofErr w:type="spellEnd"/>
      <w:r w:rsidR="00BE2AA4" w:rsidRPr="00BE2AA4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 xml:space="preserve"> en todos los salones que atiendan a estudiantes de Educación Especial; nombrar asistentes de maestros en todos los salones que atiendan a estudiantes de Educación Especial hasta el nivel superior y vocacional; promover la certificación en manejo conductual para crear servicios con métodos conductuales como ABA (</w:t>
      </w:r>
      <w:proofErr w:type="spellStart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>Applied</w:t>
      </w:r>
      <w:proofErr w:type="spellEnd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 xml:space="preserve"> </w:t>
      </w:r>
      <w:proofErr w:type="spellStart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>Behavioral</w:t>
      </w:r>
      <w:proofErr w:type="spellEnd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 xml:space="preserve"> </w:t>
      </w:r>
      <w:proofErr w:type="spellStart"/>
      <w:r w:rsidR="00BE2AA4" w:rsidRPr="00BE2AA4">
        <w:rPr>
          <w:rFonts w:ascii="Book Antiqua" w:eastAsia="Times New Roman" w:hAnsi="Book Antiqua" w:cs="Times New Roman"/>
          <w:i/>
          <w:snapToGrid w:val="0"/>
          <w:sz w:val="24"/>
          <w:szCs w:val="24"/>
          <w:lang w:val="es-PR"/>
        </w:rPr>
        <w:t>Analysis</w:t>
      </w:r>
      <w:proofErr w:type="spellEnd"/>
      <w:r w:rsidR="00BE2AA4" w:rsidRPr="00BE2AA4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t>); y establecer escuelas vocacionales para la población con diversidad funcional y autismo en todas las regiones educativas del Departamento de Educación.</w:t>
      </w:r>
      <w:r w:rsidR="00BE2AA4">
        <w:rPr>
          <w:rFonts w:ascii="Book Antiqua" w:eastAsia="Times New Roman" w:hAnsi="Book Antiqua" w:cs="Times New Roman"/>
          <w:snapToGrid w:val="0"/>
          <w:sz w:val="24"/>
          <w:szCs w:val="24"/>
          <w:lang w:val="es-PR"/>
        </w:rPr>
        <w:br w:type="page"/>
      </w:r>
    </w:p>
    <w:p w:rsidR="00162F37" w:rsidRPr="00A339A0" w:rsidRDefault="00162F37" w:rsidP="00162F37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val="es-ES_tradnl"/>
        </w:rPr>
      </w:pPr>
      <w:r w:rsidRPr="00A339A0">
        <w:rPr>
          <w:rFonts w:ascii="Book Antiqua" w:eastAsia="Times New Roman" w:hAnsi="Book Antiqua" w:cs="Times New Roman"/>
          <w:sz w:val="24"/>
          <w:szCs w:val="24"/>
          <w:lang w:val="es-ES_tradnl"/>
        </w:rPr>
        <w:t xml:space="preserve">Sección 2.- </w:t>
      </w:r>
      <w:r w:rsidRPr="00A339A0">
        <w:rPr>
          <w:rFonts w:ascii="Book Antiqua" w:eastAsia="Times New Roman" w:hAnsi="Book Antiqua" w:cs="Times New Roman"/>
          <w:snapToGrid w:val="0"/>
          <w:sz w:val="24"/>
          <w:szCs w:val="24"/>
          <w:lang w:val="es-ES_tradnl"/>
        </w:rPr>
        <w:t xml:space="preserve">La </w:t>
      </w:r>
      <w:r w:rsidRPr="00A339A0">
        <w:rPr>
          <w:rFonts w:ascii="Book Antiqua" w:eastAsia="Times New Roman" w:hAnsi="Book Antiqua" w:cs="Times New Roman"/>
          <w:sz w:val="24"/>
          <w:szCs w:val="24"/>
          <w:lang w:val="es-ES_tradnl"/>
        </w:rPr>
        <w:t>Comisión remitirá un informe al Senado de Puerto Rico</w:t>
      </w:r>
      <w:r>
        <w:rPr>
          <w:rFonts w:ascii="Book Antiqua" w:eastAsia="Times New Roman" w:hAnsi="Book Antiqua" w:cs="Times New Roman"/>
          <w:sz w:val="24"/>
          <w:szCs w:val="24"/>
          <w:lang w:val="es-ES_tradnl"/>
        </w:rPr>
        <w:t xml:space="preserve">, contentivo de sus </w:t>
      </w:r>
      <w:r w:rsidRPr="00A339A0">
        <w:rPr>
          <w:rFonts w:ascii="Book Antiqua" w:eastAsia="Times New Roman" w:hAnsi="Book Antiqua" w:cs="Times New Roman"/>
          <w:sz w:val="24"/>
          <w:szCs w:val="24"/>
          <w:lang w:val="es-ES_tradnl"/>
        </w:rPr>
        <w:t>hallazgos, conclusiones, y recomendaciones</w:t>
      </w:r>
      <w:r>
        <w:rPr>
          <w:rFonts w:ascii="Book Antiqua" w:eastAsia="Times New Roman" w:hAnsi="Book Antiqua" w:cs="Times New Roman"/>
          <w:sz w:val="24"/>
          <w:szCs w:val="24"/>
          <w:lang w:val="es-ES_tradnl"/>
        </w:rPr>
        <w:t>,</w:t>
      </w:r>
      <w:r w:rsidRPr="00A339A0">
        <w:rPr>
          <w:rFonts w:ascii="Book Antiqua" w:eastAsia="Times New Roman" w:hAnsi="Book Antiqua" w:cs="Times New Roman"/>
          <w:sz w:val="24"/>
          <w:szCs w:val="24"/>
          <w:lang w:val="es-ES_tradnl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s-ES_tradnl"/>
        </w:rPr>
        <w:t>no más tarde de los noventa (90) días a partir</w:t>
      </w:r>
      <w:r w:rsidRPr="00A339A0">
        <w:rPr>
          <w:rFonts w:ascii="Book Antiqua" w:eastAsia="Times New Roman" w:hAnsi="Book Antiqua" w:cs="Times New Roman"/>
          <w:sz w:val="24"/>
          <w:szCs w:val="24"/>
          <w:lang w:val="es-ES_tradnl"/>
        </w:rPr>
        <w:t xml:space="preserve"> de la aprobación de esta Resolución</w:t>
      </w:r>
      <w:r w:rsidRPr="00A339A0">
        <w:rPr>
          <w:rFonts w:ascii="Book Antiqua" w:eastAsia="Times New Roman" w:hAnsi="Book Antiqua" w:cs="Times New Roman"/>
          <w:color w:val="151515"/>
          <w:sz w:val="24"/>
          <w:szCs w:val="24"/>
          <w:lang w:val="es-ES"/>
        </w:rPr>
        <w:t>.</w:t>
      </w:r>
    </w:p>
    <w:p w:rsidR="00E13E14" w:rsidRPr="00162F37" w:rsidRDefault="00162F37" w:rsidP="00162F37">
      <w:pPr>
        <w:spacing w:after="0" w:line="480" w:lineRule="auto"/>
        <w:ind w:firstLine="720"/>
        <w:jc w:val="both"/>
        <w:rPr>
          <w:rFonts w:ascii="Book Antiqua" w:eastAsia="Times New Roman" w:hAnsi="Book Antiqua" w:cs="Times New Roman"/>
          <w:sz w:val="24"/>
          <w:szCs w:val="20"/>
          <w:lang w:val="es-ES_tradnl"/>
        </w:rPr>
      </w:pPr>
      <w:r w:rsidRPr="00A339A0">
        <w:rPr>
          <w:rFonts w:ascii="Book Antiqua" w:eastAsia="Times New Roman" w:hAnsi="Book Antiqua" w:cs="Times New Roman"/>
          <w:snapToGrid w:val="0"/>
          <w:sz w:val="24"/>
          <w:szCs w:val="24"/>
          <w:lang w:val="es-ES_tradnl"/>
        </w:rPr>
        <w:t xml:space="preserve">Sección 3.- </w:t>
      </w:r>
      <w:r w:rsidRPr="00A339A0">
        <w:rPr>
          <w:rFonts w:ascii="Book Antiqua" w:eastAsia="Times New Roman" w:hAnsi="Book Antiqua" w:cs="Times New Roman"/>
          <w:sz w:val="24"/>
          <w:szCs w:val="24"/>
          <w:lang w:val="es-ES_tradnl"/>
        </w:rPr>
        <w:t>Esta Resolución entrará en vigor inmediatamente después de su aprobación</w:t>
      </w:r>
      <w:r w:rsidRPr="00A339A0">
        <w:rPr>
          <w:rFonts w:ascii="Book Antiqua" w:eastAsia="Times New Roman" w:hAnsi="Book Antiqua" w:cs="Times New Roman"/>
          <w:snapToGrid w:val="0"/>
          <w:sz w:val="24"/>
          <w:szCs w:val="24"/>
          <w:lang w:val="es-ES_tradnl"/>
        </w:rPr>
        <w:t>.</w:t>
      </w:r>
    </w:p>
    <w:sectPr w:rsidR="00E13E14" w:rsidRPr="00162F37" w:rsidSect="00E13E14">
      <w:headerReference w:type="default" r:id="rId8"/>
      <w:type w:val="continuous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D7" w:rsidRDefault="00A530D7" w:rsidP="00B52B10">
      <w:pPr>
        <w:spacing w:after="0" w:line="240" w:lineRule="auto"/>
      </w:pPr>
      <w:r>
        <w:separator/>
      </w:r>
    </w:p>
  </w:endnote>
  <w:endnote w:type="continuationSeparator" w:id="0">
    <w:p w:rsidR="00A530D7" w:rsidRDefault="00A530D7" w:rsidP="00B5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D7" w:rsidRDefault="00A530D7" w:rsidP="00B52B10">
      <w:pPr>
        <w:spacing w:after="0" w:line="240" w:lineRule="auto"/>
      </w:pPr>
      <w:r>
        <w:separator/>
      </w:r>
    </w:p>
  </w:footnote>
  <w:footnote w:type="continuationSeparator" w:id="0">
    <w:p w:rsidR="00A530D7" w:rsidRDefault="00A530D7" w:rsidP="00B52B10">
      <w:pPr>
        <w:spacing w:after="0" w:line="240" w:lineRule="auto"/>
      </w:pPr>
      <w:r>
        <w:continuationSeparator/>
      </w:r>
    </w:p>
  </w:footnote>
  <w:footnote w:id="1">
    <w:p w:rsidR="00903D01" w:rsidRPr="00493E99" w:rsidRDefault="00903D01" w:rsidP="00903D01">
      <w:pPr>
        <w:pStyle w:val="FootnoteText"/>
        <w:tabs>
          <w:tab w:val="left" w:pos="360"/>
        </w:tabs>
        <w:ind w:left="360" w:hanging="360"/>
        <w:jc w:val="both"/>
        <w:rPr>
          <w:rFonts w:ascii="Book Antiqua" w:hAnsi="Book Antiqua"/>
          <w:lang w:val="es-PR"/>
        </w:rPr>
      </w:pPr>
      <w:r w:rsidRPr="00903D01">
        <w:rPr>
          <w:rStyle w:val="FootnoteReference"/>
          <w:rFonts w:ascii="Book Antiqua" w:hAnsi="Book Antiqua"/>
        </w:rPr>
        <w:footnoteRef/>
      </w:r>
      <w:r w:rsidRPr="00493E99">
        <w:rPr>
          <w:rFonts w:ascii="Book Antiqua" w:hAnsi="Book Antiqua"/>
          <w:lang w:val="es-PR"/>
        </w:rPr>
        <w:t xml:space="preserve"> </w:t>
      </w:r>
      <w:r w:rsidRPr="00493E99">
        <w:rPr>
          <w:rFonts w:ascii="Book Antiqua" w:hAnsi="Book Antiqua"/>
          <w:lang w:val="es-PR"/>
        </w:rPr>
        <w:tab/>
        <w:t>Véase la Ley Núm. 220-2012, conocida como “Ley para el Bienestar, Integración y Desarrollo de las personas con Autismo” o “Ley BIDA”, Artículo 3(a).</w:t>
      </w:r>
    </w:p>
  </w:footnote>
  <w:footnote w:id="2">
    <w:p w:rsidR="00903D01" w:rsidRPr="00493E99" w:rsidRDefault="00903D01" w:rsidP="00903D01">
      <w:pPr>
        <w:pStyle w:val="FootnoteText"/>
        <w:tabs>
          <w:tab w:val="left" w:pos="360"/>
        </w:tabs>
        <w:rPr>
          <w:rFonts w:ascii="Book Antiqua" w:hAnsi="Book Antiqua"/>
          <w:lang w:val="es-PR"/>
        </w:rPr>
      </w:pPr>
      <w:r w:rsidRPr="00903D01">
        <w:rPr>
          <w:rStyle w:val="FootnoteReference"/>
          <w:rFonts w:ascii="Book Antiqua" w:hAnsi="Book Antiqua"/>
        </w:rPr>
        <w:footnoteRef/>
      </w:r>
      <w:r w:rsidRPr="00493E99">
        <w:rPr>
          <w:rFonts w:ascii="Book Antiqua" w:hAnsi="Book Antiqua"/>
          <w:lang w:val="es-PR"/>
        </w:rPr>
        <w:t xml:space="preserve"> </w:t>
      </w:r>
      <w:r w:rsidRPr="00493E99">
        <w:rPr>
          <w:rFonts w:ascii="Book Antiqua" w:hAnsi="Book Antiqua"/>
          <w:lang w:val="es-PR"/>
        </w:rPr>
        <w:tab/>
      </w:r>
      <w:r w:rsidRPr="00493E99">
        <w:rPr>
          <w:rFonts w:ascii="Book Antiqua" w:hAnsi="Book Antiqua"/>
          <w:i/>
          <w:lang w:val="es-PR"/>
        </w:rPr>
        <w:t>Id.</w:t>
      </w:r>
    </w:p>
  </w:footnote>
  <w:footnote w:id="3">
    <w:p w:rsidR="00903D01" w:rsidRPr="00493E99" w:rsidRDefault="00903D01" w:rsidP="00903D01">
      <w:pPr>
        <w:pStyle w:val="FootnoteText"/>
        <w:tabs>
          <w:tab w:val="left" w:pos="360"/>
        </w:tabs>
        <w:rPr>
          <w:rFonts w:ascii="Book Antiqua" w:hAnsi="Book Antiqua"/>
          <w:lang w:val="es-PR"/>
        </w:rPr>
      </w:pPr>
      <w:r w:rsidRPr="00903D01">
        <w:rPr>
          <w:rStyle w:val="FootnoteReference"/>
          <w:rFonts w:ascii="Book Antiqua" w:hAnsi="Book Antiqua"/>
        </w:rPr>
        <w:footnoteRef/>
      </w:r>
      <w:r w:rsidRPr="00493E99">
        <w:rPr>
          <w:rFonts w:ascii="Book Antiqua" w:hAnsi="Book Antiqua"/>
          <w:lang w:val="es-PR"/>
        </w:rPr>
        <w:t xml:space="preserve"> </w:t>
      </w:r>
      <w:r w:rsidRPr="00493E99">
        <w:rPr>
          <w:rFonts w:ascii="Book Antiqua" w:hAnsi="Book Antiqua"/>
          <w:lang w:val="es-PR"/>
        </w:rPr>
        <w:tab/>
      </w:r>
      <w:r w:rsidRPr="00493E99">
        <w:rPr>
          <w:rFonts w:ascii="Book Antiqua" w:hAnsi="Book Antiqua"/>
          <w:i/>
          <w:lang w:val="es-PR"/>
        </w:rPr>
        <w:t>Id.</w:t>
      </w:r>
    </w:p>
  </w:footnote>
  <w:footnote w:id="4">
    <w:p w:rsidR="00B91C33" w:rsidRPr="00493E99" w:rsidRDefault="00B91C33" w:rsidP="00CF41C6">
      <w:pPr>
        <w:pStyle w:val="FootnoteText"/>
        <w:tabs>
          <w:tab w:val="left" w:pos="360"/>
        </w:tabs>
        <w:ind w:left="360" w:hanging="360"/>
        <w:jc w:val="both"/>
        <w:rPr>
          <w:rFonts w:ascii="Book Antiqua" w:hAnsi="Book Antiqua"/>
          <w:lang w:val="es-PR"/>
        </w:rPr>
      </w:pPr>
      <w:r w:rsidRPr="0060348B">
        <w:rPr>
          <w:rStyle w:val="FootnoteReference"/>
          <w:rFonts w:ascii="Book Antiqua" w:hAnsi="Book Antiqua"/>
        </w:rPr>
        <w:footnoteRef/>
      </w:r>
      <w:r w:rsidRPr="00493E99">
        <w:rPr>
          <w:rFonts w:ascii="Book Antiqua" w:hAnsi="Book Antiqua"/>
          <w:lang w:val="es-PR"/>
        </w:rPr>
        <w:t xml:space="preserve"> </w:t>
      </w:r>
      <w:r w:rsidR="0060348B" w:rsidRPr="00493E99">
        <w:rPr>
          <w:rFonts w:ascii="Book Antiqua" w:hAnsi="Book Antiqua"/>
          <w:lang w:val="es-PR"/>
        </w:rPr>
        <w:tab/>
      </w:r>
      <w:r w:rsidR="00CF41C6" w:rsidRPr="00493E99">
        <w:rPr>
          <w:rFonts w:ascii="Book Antiqua" w:hAnsi="Book Antiqua"/>
          <w:lang w:val="es-PR"/>
        </w:rPr>
        <w:t xml:space="preserve">Jorge J. Muñiz Ortiz, “Consideran el regreso a las aulas de niños autistas en Puerto Rico”, </w:t>
      </w:r>
      <w:r w:rsidR="00305F5C">
        <w:rPr>
          <w:rFonts w:ascii="Book Antiqua" w:hAnsi="Book Antiqua"/>
          <w:lang w:val="es-PR"/>
        </w:rPr>
        <w:t xml:space="preserve">                             </w:t>
      </w:r>
      <w:r w:rsidR="00CF41C6" w:rsidRPr="00493E99">
        <w:rPr>
          <w:rFonts w:ascii="Book Antiqua" w:hAnsi="Book Antiqua"/>
          <w:lang w:val="es-PR"/>
        </w:rPr>
        <w:t xml:space="preserve">23 de abril de 2021, </w:t>
      </w:r>
      <w:hyperlink r:id="rId1" w:history="1">
        <w:r w:rsidR="00CF41C6" w:rsidRPr="00493E99">
          <w:rPr>
            <w:rStyle w:val="Hyperlink"/>
            <w:rFonts w:ascii="Book Antiqua" w:hAnsi="Book Antiqua"/>
            <w:lang w:val="es-PR"/>
          </w:rPr>
          <w:t>https://www.swissinfo.ch/spa/p-rico-autismo_consideran-el-regreso-a-las-aulas-de-ni%C3%B1os-autistas-en-puerto-rico/46561816</w:t>
        </w:r>
      </w:hyperlink>
      <w:r w:rsidR="00CF41C6" w:rsidRPr="00493E99">
        <w:rPr>
          <w:rFonts w:ascii="Book Antiqua" w:hAnsi="Book Antiqua"/>
          <w:lang w:val="es-PR"/>
        </w:rPr>
        <w:t xml:space="preserve"> (visitado el 30 de junio de 2021).</w:t>
      </w:r>
    </w:p>
  </w:footnote>
  <w:footnote w:id="5">
    <w:p w:rsidR="00903D01" w:rsidRPr="00493E99" w:rsidRDefault="00903D01" w:rsidP="00B52B10">
      <w:pPr>
        <w:pStyle w:val="FootnoteText"/>
        <w:tabs>
          <w:tab w:val="left" w:pos="360"/>
        </w:tabs>
        <w:rPr>
          <w:rFonts w:ascii="Book Antiqua" w:hAnsi="Book Antiqua"/>
          <w:lang w:val="es-PR"/>
        </w:rPr>
      </w:pPr>
      <w:r w:rsidRPr="00B52B10">
        <w:rPr>
          <w:rStyle w:val="FootnoteReference"/>
          <w:rFonts w:ascii="Book Antiqua" w:hAnsi="Book Antiqua"/>
        </w:rPr>
        <w:footnoteRef/>
      </w:r>
      <w:r w:rsidRPr="00493E99">
        <w:rPr>
          <w:rFonts w:ascii="Book Antiqua" w:hAnsi="Book Antiqua"/>
          <w:lang w:val="es-PR"/>
        </w:rPr>
        <w:t xml:space="preserve"> </w:t>
      </w:r>
      <w:r w:rsidRPr="00493E99">
        <w:rPr>
          <w:rFonts w:ascii="Book Antiqua" w:hAnsi="Book Antiqua"/>
          <w:lang w:val="es-PR"/>
        </w:rPr>
        <w:tab/>
        <w:t xml:space="preserve">Refiérase a: </w:t>
      </w:r>
      <w:hyperlink r:id="rId2" w:history="1">
        <w:r w:rsidRPr="00493E99">
          <w:rPr>
            <w:rStyle w:val="Hyperlink"/>
            <w:rFonts w:ascii="Book Antiqua" w:hAnsi="Book Antiqua"/>
            <w:lang w:val="es-PR"/>
          </w:rPr>
          <w:t>https://de.pr.gov/educacion-especial/estadistica</w:t>
        </w:r>
      </w:hyperlink>
      <w:r w:rsidRPr="00493E99">
        <w:rPr>
          <w:rFonts w:ascii="Book Antiqua" w:hAnsi="Book Antiqua"/>
          <w:lang w:val="es-PR"/>
        </w:rPr>
        <w:t xml:space="preserve"> (visitado el 29 de junio de 2021).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01" w:rsidRDefault="00903D01">
    <w:pPr>
      <w:tabs>
        <w:tab w:val="left" w:pos="0"/>
      </w:tabs>
      <w:suppressAutoHyphens/>
      <w:spacing w:line="240" w:lineRule="atLeast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445318" wp14:editId="74349EE0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5943600" cy="228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D01" w:rsidRPr="000B5E31" w:rsidRDefault="00903D0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Book Antiqua" w:hAnsi="Book Antiqua" w:cs="Courier New"/>
                              <w:spacing w:val="-2"/>
                              <w:szCs w:val="24"/>
                            </w:rPr>
                          </w:pPr>
                          <w:r>
                            <w:tab/>
                          </w:r>
                          <w:r w:rsidRPr="000B5E31">
                            <w:rPr>
                              <w:rFonts w:ascii="Book Antiqua" w:hAnsi="Book Antiqua" w:cs="Courier New"/>
                              <w:spacing w:val="-2"/>
                              <w:szCs w:val="24"/>
                            </w:rPr>
                            <w:fldChar w:fldCharType="begin"/>
                          </w:r>
                          <w:r w:rsidRPr="000B5E31">
                            <w:rPr>
                              <w:rFonts w:ascii="Book Antiqua" w:hAnsi="Book Antiqua" w:cs="Courier New"/>
                              <w:spacing w:val="-2"/>
                              <w:szCs w:val="24"/>
                            </w:rPr>
                            <w:instrText>page \* arabic</w:instrText>
                          </w:r>
                          <w:r w:rsidRPr="000B5E31">
                            <w:rPr>
                              <w:rFonts w:ascii="Book Antiqua" w:hAnsi="Book Antiqua" w:cs="Courier New"/>
                              <w:spacing w:val="-2"/>
                              <w:szCs w:val="24"/>
                            </w:rPr>
                            <w:fldChar w:fldCharType="separate"/>
                          </w:r>
                          <w:r w:rsidR="003D5A57">
                            <w:rPr>
                              <w:rFonts w:ascii="Book Antiqua" w:hAnsi="Book Antiqua" w:cs="Courier New"/>
                              <w:noProof/>
                              <w:spacing w:val="-2"/>
                              <w:szCs w:val="24"/>
                            </w:rPr>
                            <w:t>2</w:t>
                          </w:r>
                          <w:r w:rsidRPr="000B5E31">
                            <w:rPr>
                              <w:rFonts w:ascii="Book Antiqua" w:hAnsi="Book Antiqua" w:cs="Courier New"/>
                              <w:spacing w:val="-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445318" id="Rectangle 1" o:spid="_x0000_s1026" style="position:absolute;left:0;text-align:left;margin-left:416.8pt;margin-top:.75pt;width:468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" o:allowincell="f" filled="f" stroked="f" strokeweight="0">
              <v:textbox inset="0,0,0,0">
                <w:txbxContent>
                  <w:p w:rsidR="00903D01" w:rsidRPr="000B5E31" w:rsidRDefault="00903D01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Book Antiqua" w:hAnsi="Book Antiqua" w:cs="Courier New"/>
                        <w:spacing w:val="-2"/>
                        <w:szCs w:val="24"/>
                      </w:rPr>
                    </w:pPr>
                    <w:r>
                      <w:tab/>
                    </w:r>
                    <w:r w:rsidRPr="000B5E31">
                      <w:rPr>
                        <w:rFonts w:ascii="Book Antiqua" w:hAnsi="Book Antiqua" w:cs="Courier New"/>
                        <w:spacing w:val="-2"/>
                        <w:szCs w:val="24"/>
                      </w:rPr>
                      <w:fldChar w:fldCharType="begin"/>
                    </w:r>
                    <w:r w:rsidRPr="000B5E31">
                      <w:rPr>
                        <w:rFonts w:ascii="Book Antiqua" w:hAnsi="Book Antiqua" w:cs="Courier New"/>
                        <w:spacing w:val="-2"/>
                        <w:szCs w:val="24"/>
                      </w:rPr>
                      <w:instrText>page \* arabic</w:instrText>
                    </w:r>
                    <w:r w:rsidRPr="000B5E31">
                      <w:rPr>
                        <w:rFonts w:ascii="Book Antiqua" w:hAnsi="Book Antiqua" w:cs="Courier New"/>
                        <w:spacing w:val="-2"/>
                        <w:szCs w:val="24"/>
                      </w:rPr>
                      <w:fldChar w:fldCharType="separate"/>
                    </w:r>
                    <w:r w:rsidR="003D5A57">
                      <w:rPr>
                        <w:rFonts w:ascii="Book Antiqua" w:hAnsi="Book Antiqua" w:cs="Courier New"/>
                        <w:noProof/>
                        <w:spacing w:val="-2"/>
                        <w:szCs w:val="24"/>
                      </w:rPr>
                      <w:t>2</w:t>
                    </w:r>
                    <w:r w:rsidRPr="000B5E31">
                      <w:rPr>
                        <w:rFonts w:ascii="Book Antiqua" w:hAnsi="Book Antiqua" w:cs="Courier New"/>
                        <w:spacing w:val="-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903D01" w:rsidRDefault="00903D01">
    <w:pPr>
      <w:tabs>
        <w:tab w:val="left" w:pos="0"/>
      </w:tabs>
      <w:suppressAutoHyphens/>
      <w:spacing w:after="140" w:line="100" w:lineRule="exact"/>
      <w:jc w:val="both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01" w:rsidRPr="009360E0" w:rsidRDefault="00903D01">
    <w:pPr>
      <w:pStyle w:val="Header"/>
      <w:jc w:val="center"/>
      <w:rPr>
        <w:rFonts w:ascii="Book Antiqua" w:hAnsi="Book Antiqua"/>
      </w:rPr>
    </w:pPr>
    <w:r w:rsidRPr="009360E0">
      <w:rPr>
        <w:rStyle w:val="PageNumber"/>
        <w:rFonts w:ascii="Book Antiqua" w:hAnsi="Book Antiqua"/>
      </w:rPr>
      <w:fldChar w:fldCharType="begin"/>
    </w:r>
    <w:r w:rsidRPr="009360E0">
      <w:rPr>
        <w:rStyle w:val="PageNumber"/>
        <w:rFonts w:ascii="Book Antiqua" w:hAnsi="Book Antiqua"/>
      </w:rPr>
      <w:instrText xml:space="preserve"> PAGE </w:instrText>
    </w:r>
    <w:r w:rsidRPr="009360E0">
      <w:rPr>
        <w:rStyle w:val="PageNumber"/>
        <w:rFonts w:ascii="Book Antiqua" w:hAnsi="Book Antiqua"/>
      </w:rPr>
      <w:fldChar w:fldCharType="separate"/>
    </w:r>
    <w:r w:rsidR="003D5A57">
      <w:rPr>
        <w:rStyle w:val="PageNumber"/>
        <w:rFonts w:ascii="Book Antiqua" w:hAnsi="Book Antiqua"/>
        <w:noProof/>
      </w:rPr>
      <w:t>5</w:t>
    </w:r>
    <w:r w:rsidRPr="009360E0">
      <w:rPr>
        <w:rStyle w:val="PageNumber"/>
        <w:rFonts w:ascii="Book Antiqua" w:hAnsi="Book Antiqu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CC"/>
    <w:rsid w:val="00025338"/>
    <w:rsid w:val="0009474B"/>
    <w:rsid w:val="001221C1"/>
    <w:rsid w:val="00162F37"/>
    <w:rsid w:val="001B50A5"/>
    <w:rsid w:val="00305F5C"/>
    <w:rsid w:val="00332428"/>
    <w:rsid w:val="003845B5"/>
    <w:rsid w:val="003D5A57"/>
    <w:rsid w:val="00493E99"/>
    <w:rsid w:val="004E5C5D"/>
    <w:rsid w:val="0060348B"/>
    <w:rsid w:val="00657F17"/>
    <w:rsid w:val="00732868"/>
    <w:rsid w:val="0085413A"/>
    <w:rsid w:val="008B779D"/>
    <w:rsid w:val="00903D01"/>
    <w:rsid w:val="009313F7"/>
    <w:rsid w:val="00A530D7"/>
    <w:rsid w:val="00B52B10"/>
    <w:rsid w:val="00B91C33"/>
    <w:rsid w:val="00BE2AA4"/>
    <w:rsid w:val="00C25D3F"/>
    <w:rsid w:val="00C675CC"/>
    <w:rsid w:val="00C93703"/>
    <w:rsid w:val="00CF41C6"/>
    <w:rsid w:val="00D27ABA"/>
    <w:rsid w:val="00D45194"/>
    <w:rsid w:val="00DA75D7"/>
    <w:rsid w:val="00DC3ACF"/>
    <w:rsid w:val="00E13E14"/>
    <w:rsid w:val="00E94DBC"/>
    <w:rsid w:val="00ED2CFA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1C5E"/>
  <w15:chartTrackingRefBased/>
  <w15:docId w15:val="{AD65AAC9-C409-4F3F-9937-B2AAE398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37"/>
  </w:style>
  <w:style w:type="character" w:styleId="PageNumber">
    <w:name w:val="page number"/>
    <w:basedOn w:val="DefaultParagraphFont"/>
    <w:rsid w:val="00162F37"/>
  </w:style>
  <w:style w:type="character" w:styleId="LineNumber">
    <w:name w:val="line number"/>
    <w:basedOn w:val="DefaultParagraphFont"/>
    <w:uiPriority w:val="99"/>
    <w:semiHidden/>
    <w:unhideWhenUsed/>
    <w:rsid w:val="00162F37"/>
  </w:style>
  <w:style w:type="table" w:styleId="TableGrid">
    <w:name w:val="Table Grid"/>
    <w:basedOn w:val="TableNormal"/>
    <w:uiPriority w:val="39"/>
    <w:rsid w:val="00D2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2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B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B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.pr.gov/educacion-especial/estadistica" TargetMode="External"/><Relationship Id="rId1" Type="http://schemas.openxmlformats.org/officeDocument/2006/relationships/hyperlink" Target="https://www.swissinfo.ch/spa/p-rico-autismo_consideran-el-regreso-a-las-aulas-de-ni%C3%B1os-autistas-en-puerto-rico/46561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4733-87BB-4504-8F5E-9D23F3CE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Sanclemente</dc:creator>
  <cp:keywords/>
  <dc:description/>
  <cp:lastModifiedBy>Eric J. González (Trámites y Récords)</cp:lastModifiedBy>
  <cp:revision>3</cp:revision>
  <dcterms:created xsi:type="dcterms:W3CDTF">2022-04-01T20:06:00Z</dcterms:created>
  <dcterms:modified xsi:type="dcterms:W3CDTF">2022-04-04T19:05:00Z</dcterms:modified>
</cp:coreProperties>
</file>