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C4BA5" w14:textId="027E1502" w:rsidR="0000702B" w:rsidRPr="001D133A" w:rsidRDefault="0000702B" w:rsidP="0000702B">
      <w:pPr>
        <w:tabs>
          <w:tab w:val="center" w:pos="4680"/>
          <w:tab w:val="left" w:pos="7920"/>
        </w:tabs>
        <w:jc w:val="center"/>
        <w:rPr>
          <w:rFonts w:ascii="Book Antiqua" w:hAnsi="Book Antiqua"/>
          <w:sz w:val="36"/>
          <w:szCs w:val="36"/>
          <w:lang w:val="es-ES"/>
        </w:rPr>
      </w:pPr>
      <w:bookmarkStart w:id="0" w:name="_Hlk183042642"/>
      <w:bookmarkStart w:id="1" w:name="_Hlk183037667"/>
      <w:bookmarkStart w:id="2" w:name="_Hlk183038391"/>
      <w:r w:rsidRPr="001D133A">
        <w:rPr>
          <w:rFonts w:ascii="Book Antiqua" w:hAnsi="Book Antiqua"/>
          <w:sz w:val="36"/>
          <w:szCs w:val="36"/>
          <w:lang w:val="es-ES"/>
        </w:rPr>
        <w:t>GOBIERNO DE PUERTO RICO</w:t>
      </w:r>
    </w:p>
    <w:p w14:paraId="566EE669" w14:textId="77777777" w:rsidR="0000702B" w:rsidRPr="001D133A" w:rsidRDefault="0000702B" w:rsidP="0000702B">
      <w:pPr>
        <w:jc w:val="center"/>
        <w:rPr>
          <w:rFonts w:ascii="Book Antiqua" w:hAnsi="Book Antiqua"/>
          <w:sz w:val="36"/>
          <w:lang w:val="es-ES"/>
        </w:rPr>
      </w:pPr>
    </w:p>
    <w:tbl>
      <w:tblPr>
        <w:tblW w:w="9609" w:type="dxa"/>
        <w:tblLook w:val="04A0" w:firstRow="1" w:lastRow="0" w:firstColumn="1" w:lastColumn="0" w:noHBand="0" w:noVBand="1"/>
      </w:tblPr>
      <w:tblGrid>
        <w:gridCol w:w="3170"/>
        <w:gridCol w:w="3171"/>
        <w:gridCol w:w="3268"/>
      </w:tblGrid>
      <w:tr w:rsidR="0000702B" w:rsidRPr="001D133A" w14:paraId="68BF0108" w14:textId="77777777" w:rsidTr="00B26487">
        <w:trPr>
          <w:trHeight w:val="900"/>
        </w:trPr>
        <w:tc>
          <w:tcPr>
            <w:tcW w:w="3170" w:type="dxa"/>
          </w:tcPr>
          <w:p w14:paraId="778A3271" w14:textId="77777777" w:rsidR="0000702B" w:rsidRPr="001D133A" w:rsidRDefault="0000702B" w:rsidP="00B26487">
            <w:pPr>
              <w:rPr>
                <w:rFonts w:ascii="Book Antiqua" w:hAnsi="Book Antiqua"/>
                <w:lang w:val="es-ES"/>
              </w:rPr>
            </w:pPr>
            <w:r w:rsidRPr="001D133A">
              <w:rPr>
                <w:rFonts w:ascii="Book Antiqua" w:hAnsi="Book Antiqua"/>
                <w:lang w:val="es-ES"/>
              </w:rPr>
              <w:t>20</w:t>
            </w:r>
            <w:r w:rsidRPr="001D133A">
              <w:rPr>
                <w:rFonts w:ascii="Book Antiqua" w:hAnsi="Book Antiqua"/>
                <w:vertAlign w:val="superscript"/>
                <w:lang w:val="es-ES"/>
              </w:rPr>
              <w:t>ma.</w:t>
            </w:r>
            <w:r w:rsidRPr="001D133A">
              <w:rPr>
                <w:rFonts w:ascii="Book Antiqua" w:hAnsi="Book Antiqua"/>
                <w:lang w:val="es-ES"/>
              </w:rPr>
              <w:tab/>
              <w:t>Asamblea</w:t>
            </w:r>
          </w:p>
          <w:p w14:paraId="0BBE1343" w14:textId="77777777" w:rsidR="0000702B" w:rsidRPr="001D133A" w:rsidRDefault="0000702B" w:rsidP="00B26487">
            <w:pPr>
              <w:rPr>
                <w:rFonts w:ascii="Book Antiqua" w:hAnsi="Book Antiqua"/>
                <w:sz w:val="36"/>
                <w:lang w:val="es-ES"/>
              </w:rPr>
            </w:pPr>
            <w:r w:rsidRPr="001D133A">
              <w:rPr>
                <w:rFonts w:ascii="Book Antiqua" w:hAnsi="Book Antiqua"/>
                <w:lang w:val="es-ES"/>
              </w:rPr>
              <w:t xml:space="preserve">         </w:t>
            </w:r>
            <w:r w:rsidRPr="001D133A">
              <w:rPr>
                <w:rFonts w:ascii="Book Antiqua" w:hAnsi="Book Antiqua"/>
                <w:lang w:val="es-ES"/>
              </w:rPr>
              <w:tab/>
              <w:t xml:space="preserve">Legislativa                                                                                                          </w:t>
            </w:r>
          </w:p>
        </w:tc>
        <w:tc>
          <w:tcPr>
            <w:tcW w:w="3171" w:type="dxa"/>
          </w:tcPr>
          <w:p w14:paraId="15F5AEB6" w14:textId="77777777" w:rsidR="0000702B" w:rsidRPr="001D133A" w:rsidRDefault="0000702B" w:rsidP="00B26487">
            <w:pPr>
              <w:jc w:val="center"/>
              <w:rPr>
                <w:rFonts w:ascii="Book Antiqua" w:hAnsi="Book Antiqua"/>
                <w:sz w:val="36"/>
                <w:lang w:val="es-ES"/>
              </w:rPr>
            </w:pPr>
          </w:p>
        </w:tc>
        <w:tc>
          <w:tcPr>
            <w:tcW w:w="3268" w:type="dxa"/>
          </w:tcPr>
          <w:p w14:paraId="0D3C2688" w14:textId="5129707F" w:rsidR="0000702B" w:rsidRPr="001D133A" w:rsidRDefault="0000702B" w:rsidP="00B26487">
            <w:pPr>
              <w:rPr>
                <w:rFonts w:ascii="Book Antiqua" w:hAnsi="Book Antiqua"/>
                <w:lang w:val="es-ES"/>
              </w:rPr>
            </w:pPr>
            <w:r w:rsidRPr="001D133A">
              <w:rPr>
                <w:rFonts w:ascii="Book Antiqua" w:hAnsi="Book Antiqua"/>
                <w:lang w:val="es-ES"/>
              </w:rPr>
              <w:tab/>
            </w:r>
            <w:r w:rsidRPr="001D133A">
              <w:rPr>
                <w:rFonts w:ascii="Book Antiqua" w:hAnsi="Book Antiqua"/>
                <w:lang w:val="es-ES"/>
              </w:rPr>
              <w:tab/>
            </w:r>
            <w:r w:rsidR="005F1FA6">
              <w:rPr>
                <w:rFonts w:ascii="Book Antiqua" w:hAnsi="Book Antiqua"/>
                <w:lang w:val="es-ES"/>
              </w:rPr>
              <w:t>3</w:t>
            </w:r>
            <w:r w:rsidR="005F1FA6" w:rsidRPr="005F1FA6">
              <w:rPr>
                <w:rFonts w:ascii="Book Antiqua" w:hAnsi="Book Antiqua"/>
                <w:vertAlign w:val="superscript"/>
                <w:lang w:val="es-ES"/>
              </w:rPr>
              <w:t>ra</w:t>
            </w:r>
            <w:r w:rsidRPr="005F1FA6">
              <w:rPr>
                <w:rFonts w:ascii="Book Antiqua" w:hAnsi="Book Antiqua"/>
                <w:sz w:val="18"/>
                <w:szCs w:val="18"/>
                <w:vertAlign w:val="superscript"/>
                <w:lang w:val="es-ES"/>
              </w:rPr>
              <w:t>.</w:t>
            </w:r>
            <w:r w:rsidRPr="001D133A">
              <w:rPr>
                <w:rFonts w:ascii="Book Antiqua" w:hAnsi="Book Antiqua"/>
                <w:lang w:val="es-ES"/>
              </w:rPr>
              <w:t xml:space="preserve"> Sesión</w:t>
            </w:r>
          </w:p>
          <w:p w14:paraId="579EDB8A" w14:textId="77777777" w:rsidR="0000702B" w:rsidRPr="001D133A" w:rsidRDefault="0000702B" w:rsidP="00B26487">
            <w:pPr>
              <w:rPr>
                <w:rFonts w:ascii="Book Antiqua" w:hAnsi="Book Antiqua"/>
                <w:lang w:val="es-ES"/>
              </w:rPr>
            </w:pPr>
            <w:r w:rsidRPr="001D133A">
              <w:rPr>
                <w:rFonts w:ascii="Book Antiqua" w:hAnsi="Book Antiqua"/>
                <w:lang w:val="es-ES"/>
              </w:rPr>
              <w:tab/>
              <w:t xml:space="preserve">       </w:t>
            </w:r>
            <w:r w:rsidRPr="001D133A">
              <w:rPr>
                <w:rFonts w:ascii="Book Antiqua" w:hAnsi="Book Antiqua"/>
                <w:lang w:val="es-ES"/>
              </w:rPr>
              <w:tab/>
              <w:t xml:space="preserve">      Ordinaria</w:t>
            </w:r>
          </w:p>
          <w:p w14:paraId="04591674" w14:textId="77777777" w:rsidR="0000702B" w:rsidRPr="001D133A" w:rsidRDefault="0000702B" w:rsidP="00B26487">
            <w:pPr>
              <w:jc w:val="center"/>
              <w:rPr>
                <w:rFonts w:ascii="Book Antiqua" w:hAnsi="Book Antiqua"/>
                <w:sz w:val="36"/>
                <w:lang w:val="es-ES"/>
              </w:rPr>
            </w:pPr>
          </w:p>
        </w:tc>
      </w:tr>
    </w:tbl>
    <w:bookmarkEnd w:id="0"/>
    <w:p w14:paraId="02978626" w14:textId="1AEE9B43" w:rsidR="0000702B" w:rsidRPr="001D133A" w:rsidRDefault="0000702B" w:rsidP="001D3E98">
      <w:pPr>
        <w:spacing w:line="360" w:lineRule="auto"/>
        <w:jc w:val="center"/>
        <w:rPr>
          <w:rFonts w:ascii="Book Antiqua" w:hAnsi="Book Antiqua"/>
          <w:b/>
          <w:sz w:val="36"/>
          <w:lang w:val="es-ES"/>
        </w:rPr>
      </w:pPr>
      <w:r w:rsidRPr="001D133A">
        <w:rPr>
          <w:rFonts w:ascii="Book Antiqua" w:hAnsi="Book Antiqua"/>
          <w:b/>
          <w:sz w:val="36"/>
          <w:lang w:val="es-ES"/>
        </w:rPr>
        <w:t>SENADO DE PUERTO RICO</w:t>
      </w:r>
      <w:bookmarkEnd w:id="1"/>
    </w:p>
    <w:p w14:paraId="0A02050C" w14:textId="7D269478" w:rsidR="0000702B" w:rsidRPr="001D133A" w:rsidRDefault="0000702B" w:rsidP="001D3E98">
      <w:pPr>
        <w:spacing w:line="360" w:lineRule="auto"/>
        <w:jc w:val="center"/>
        <w:rPr>
          <w:rFonts w:ascii="Book Antiqua" w:hAnsi="Book Antiqua"/>
          <w:b/>
          <w:sz w:val="52"/>
          <w:lang w:val="es-ES"/>
        </w:rPr>
      </w:pPr>
      <w:r w:rsidRPr="001D133A">
        <w:rPr>
          <w:rFonts w:ascii="Book Antiqua" w:hAnsi="Book Antiqua"/>
          <w:b/>
          <w:sz w:val="52"/>
          <w:lang w:val="es-ES"/>
        </w:rPr>
        <w:t xml:space="preserve">P. del S. </w:t>
      </w:r>
      <w:r w:rsidR="00674949">
        <w:rPr>
          <w:rFonts w:ascii="Book Antiqua" w:hAnsi="Book Antiqua"/>
          <w:b/>
          <w:sz w:val="52"/>
          <w:lang w:val="es-ES"/>
        </w:rPr>
        <w:t>1372</w:t>
      </w:r>
    </w:p>
    <w:p w14:paraId="0A885B68" w14:textId="0B76CF9E" w:rsidR="0000702B" w:rsidRPr="001D133A" w:rsidRDefault="00674949" w:rsidP="001D3E98">
      <w:pPr>
        <w:spacing w:line="360" w:lineRule="auto"/>
        <w:jc w:val="center"/>
        <w:rPr>
          <w:rFonts w:ascii="Book Antiqua" w:hAnsi="Book Antiqua"/>
          <w:lang w:val="es-ES"/>
        </w:rPr>
      </w:pPr>
      <w:bookmarkStart w:id="3" w:name="_Hlk183037684"/>
      <w:r>
        <w:rPr>
          <w:rFonts w:ascii="Book Antiqua" w:hAnsi="Book Antiqua"/>
          <w:lang w:val="es-ES"/>
        </w:rPr>
        <w:t>30</w:t>
      </w:r>
      <w:r w:rsidR="0000702B" w:rsidRPr="001D133A">
        <w:rPr>
          <w:rFonts w:ascii="Book Antiqua" w:hAnsi="Book Antiqua"/>
          <w:lang w:val="es-ES"/>
        </w:rPr>
        <w:t xml:space="preserve"> de </w:t>
      </w:r>
      <w:r w:rsidR="00991537">
        <w:rPr>
          <w:rFonts w:ascii="Book Antiqua" w:hAnsi="Book Antiqua"/>
          <w:lang w:val="es-ES"/>
        </w:rPr>
        <w:t>juni</w:t>
      </w:r>
      <w:r w:rsidR="00296777">
        <w:rPr>
          <w:rFonts w:ascii="Book Antiqua" w:hAnsi="Book Antiqua"/>
          <w:lang w:val="es-ES"/>
        </w:rPr>
        <w:t>o</w:t>
      </w:r>
      <w:r w:rsidR="0000702B" w:rsidRPr="001D133A">
        <w:rPr>
          <w:rFonts w:ascii="Book Antiqua" w:hAnsi="Book Antiqua"/>
          <w:lang w:val="es-ES"/>
        </w:rPr>
        <w:t xml:space="preserve"> de 202</w:t>
      </w:r>
      <w:r w:rsidR="005F1FA6">
        <w:rPr>
          <w:rFonts w:ascii="Book Antiqua" w:hAnsi="Book Antiqua"/>
          <w:lang w:val="es-ES"/>
        </w:rPr>
        <w:t>6</w:t>
      </w:r>
    </w:p>
    <w:p w14:paraId="2C27582D" w14:textId="62EFB610" w:rsidR="0000702B" w:rsidRPr="001E52A7" w:rsidRDefault="0000702B" w:rsidP="001D3E98">
      <w:pPr>
        <w:spacing w:line="360" w:lineRule="auto"/>
        <w:jc w:val="center"/>
        <w:rPr>
          <w:rFonts w:ascii="Book Antiqua" w:hAnsi="Book Antiqua"/>
          <w:i/>
          <w:iCs/>
          <w:lang w:val="es-ES"/>
        </w:rPr>
      </w:pPr>
      <w:r w:rsidRPr="00A4724C">
        <w:rPr>
          <w:rFonts w:ascii="Book Antiqua" w:hAnsi="Book Antiqua"/>
          <w:lang w:val="es-ES"/>
        </w:rPr>
        <w:t xml:space="preserve">Presentado </w:t>
      </w:r>
      <w:r w:rsidR="00933DDD">
        <w:rPr>
          <w:rFonts w:ascii="Book Antiqua" w:hAnsi="Book Antiqua"/>
          <w:lang w:val="es-ES"/>
        </w:rPr>
        <w:t>por</w:t>
      </w:r>
      <w:r w:rsidR="001F196F">
        <w:rPr>
          <w:rFonts w:ascii="Book Antiqua" w:hAnsi="Book Antiqua"/>
          <w:lang w:val="es-ES"/>
        </w:rPr>
        <w:t xml:space="preserve"> la</w:t>
      </w:r>
      <w:r w:rsidR="00933DDD">
        <w:rPr>
          <w:rFonts w:ascii="Book Antiqua" w:hAnsi="Book Antiqua"/>
          <w:lang w:val="es-ES"/>
        </w:rPr>
        <w:t xml:space="preserve"> señora</w:t>
      </w:r>
      <w:r w:rsidRPr="00A4724C">
        <w:rPr>
          <w:rFonts w:ascii="Book Antiqua" w:hAnsi="Book Antiqua"/>
          <w:lang w:val="es-ES"/>
        </w:rPr>
        <w:t xml:space="preserve"> </w:t>
      </w:r>
      <w:r w:rsidR="001E52A7">
        <w:rPr>
          <w:rFonts w:ascii="Book Antiqua" w:hAnsi="Book Antiqua"/>
          <w:i/>
          <w:iCs/>
          <w:lang w:val="es-ES"/>
        </w:rPr>
        <w:t xml:space="preserve">Soto Aguilú </w:t>
      </w:r>
    </w:p>
    <w:p w14:paraId="34105B94" w14:textId="0814E041" w:rsidR="00A202B7" w:rsidRPr="00A4724C" w:rsidRDefault="0000702B" w:rsidP="001D3E98">
      <w:pPr>
        <w:spacing w:line="360" w:lineRule="auto"/>
        <w:jc w:val="center"/>
        <w:rPr>
          <w:rFonts w:ascii="Book Antiqua" w:hAnsi="Book Antiqua"/>
          <w:i/>
          <w:iCs/>
          <w:szCs w:val="24"/>
          <w:lang w:val="es-ES"/>
        </w:rPr>
      </w:pPr>
      <w:r w:rsidRPr="00A4724C">
        <w:rPr>
          <w:rFonts w:ascii="Book Antiqua" w:hAnsi="Book Antiqua"/>
          <w:i/>
          <w:lang w:val="es-ES"/>
        </w:rPr>
        <w:t xml:space="preserve">Referido a </w:t>
      </w:r>
      <w:r w:rsidR="00710001">
        <w:rPr>
          <w:rFonts w:ascii="Book Antiqua" w:hAnsi="Book Antiqua"/>
          <w:i/>
          <w:lang w:val="es-ES"/>
        </w:rPr>
        <w:t>la Comisión de Gobierno</w:t>
      </w:r>
    </w:p>
    <w:p w14:paraId="729606B8" w14:textId="686DFA96" w:rsidR="00A202B7" w:rsidRPr="00A4724C" w:rsidRDefault="00A202B7" w:rsidP="00A202B7">
      <w:pPr>
        <w:spacing w:line="360" w:lineRule="auto"/>
        <w:jc w:val="center"/>
        <w:rPr>
          <w:rFonts w:ascii="Book Antiqua" w:hAnsi="Book Antiqua"/>
          <w:i/>
          <w:iCs/>
          <w:sz w:val="4"/>
          <w:szCs w:val="4"/>
          <w:lang w:val="es-ES"/>
        </w:rPr>
      </w:pPr>
    </w:p>
    <w:p w14:paraId="008CA567" w14:textId="49DBA954" w:rsidR="00A37DBE" w:rsidRPr="00A4724C" w:rsidRDefault="0000702B" w:rsidP="0000702B">
      <w:pPr>
        <w:jc w:val="center"/>
        <w:rPr>
          <w:rFonts w:ascii="Book Antiqua" w:hAnsi="Book Antiqua"/>
          <w:b/>
          <w:szCs w:val="24"/>
          <w:lang w:val="es-ES"/>
        </w:rPr>
      </w:pPr>
      <w:r w:rsidRPr="00A4724C">
        <w:rPr>
          <w:rFonts w:ascii="Book Antiqua" w:hAnsi="Book Antiqua"/>
          <w:b/>
          <w:szCs w:val="24"/>
          <w:lang w:val="es-ES"/>
        </w:rPr>
        <w:t>LEY</w:t>
      </w:r>
      <w:bookmarkEnd w:id="2"/>
      <w:bookmarkEnd w:id="3"/>
    </w:p>
    <w:p w14:paraId="2EB20AC1" w14:textId="77777777" w:rsidR="002206E3" w:rsidRPr="00A4724C" w:rsidRDefault="002206E3" w:rsidP="002206E3">
      <w:pPr>
        <w:widowControl w:val="0"/>
        <w:suppressLineNumbers/>
        <w:autoSpaceDE w:val="0"/>
        <w:autoSpaceDN w:val="0"/>
        <w:adjustRightInd w:val="0"/>
        <w:ind w:left="720" w:hanging="720"/>
        <w:jc w:val="both"/>
        <w:rPr>
          <w:rFonts w:ascii="Book Antiqua" w:hAnsi="Book Antiqua"/>
          <w:bCs/>
          <w:sz w:val="16"/>
          <w:szCs w:val="16"/>
          <w:lang w:val="es-ES"/>
        </w:rPr>
      </w:pPr>
    </w:p>
    <w:p w14:paraId="245BF4C2" w14:textId="0B4D0D33" w:rsidR="00872DBE" w:rsidRPr="00A13A5A" w:rsidRDefault="00A13A5A" w:rsidP="001D3E98">
      <w:pPr>
        <w:spacing w:before="120"/>
        <w:ind w:left="547" w:hanging="547"/>
        <w:jc w:val="both"/>
        <w:rPr>
          <w:rFonts w:ascii="Book Antiqua" w:hAnsi="Book Antiqua"/>
          <w:lang w:val="es-PR"/>
        </w:rPr>
      </w:pPr>
      <w:r w:rsidRPr="00A13A5A">
        <w:rPr>
          <w:rFonts w:ascii="Book Antiqua" w:hAnsi="Book Antiqua"/>
          <w:lang w:val="es-PR"/>
        </w:rPr>
        <w:t>Para enmendar el Artículo 22 de la Ley Núm. 73-2019, según enmendada, conocida como “Ley de la Administración de Servicios Generales para la Centralización de las Compras del Gobierno de Puerto Rico de 2019”, a los fines de autorizar prioridad a entidades sin fines de lucro de bienestar animal en la disposición de propiedad pública excedente; y para otros fines relacionados.</w:t>
      </w:r>
    </w:p>
    <w:p w14:paraId="49326855" w14:textId="77777777" w:rsidR="003B641B" w:rsidRDefault="003B641B" w:rsidP="00DF6D4E">
      <w:pPr>
        <w:jc w:val="center"/>
        <w:rPr>
          <w:rFonts w:ascii="Book Antiqua" w:hAnsi="Book Antiqua"/>
          <w:b/>
          <w:bCs/>
          <w:lang w:val="es-ES"/>
        </w:rPr>
      </w:pPr>
    </w:p>
    <w:p w14:paraId="43681AEB" w14:textId="2F6823CE" w:rsidR="0025618A" w:rsidRDefault="0025618A" w:rsidP="00DF6D4E">
      <w:pPr>
        <w:jc w:val="center"/>
        <w:rPr>
          <w:rFonts w:ascii="Book Antiqua" w:hAnsi="Book Antiqua"/>
          <w:b/>
          <w:bCs/>
          <w:lang w:val="es-ES"/>
        </w:rPr>
      </w:pPr>
      <w:r w:rsidRPr="00A4724C">
        <w:rPr>
          <w:rFonts w:ascii="Book Antiqua" w:hAnsi="Book Antiqua"/>
          <w:b/>
          <w:bCs/>
          <w:lang w:val="es-ES"/>
        </w:rPr>
        <w:t>EXPOSICIÓ</w:t>
      </w:r>
      <w:r w:rsidR="00A37DBE" w:rsidRPr="00A4724C">
        <w:rPr>
          <w:rFonts w:ascii="Book Antiqua" w:hAnsi="Book Antiqua"/>
          <w:b/>
          <w:bCs/>
          <w:lang w:val="es-ES"/>
        </w:rPr>
        <w:t>N DE MOTIVOS</w:t>
      </w:r>
    </w:p>
    <w:p w14:paraId="5D7F8CBE" w14:textId="77777777" w:rsidR="00872DBE" w:rsidRDefault="00872DBE" w:rsidP="00DF6D4E">
      <w:pPr>
        <w:jc w:val="center"/>
        <w:rPr>
          <w:rFonts w:ascii="Book Antiqua" w:hAnsi="Book Antiqua"/>
          <w:b/>
          <w:bCs/>
          <w:lang w:val="es-ES"/>
        </w:rPr>
      </w:pPr>
    </w:p>
    <w:p w14:paraId="1BD8150A" w14:textId="77777777" w:rsidR="00583DCB" w:rsidRPr="003B641B" w:rsidRDefault="00583DCB" w:rsidP="001D3E98">
      <w:pPr>
        <w:spacing w:line="360" w:lineRule="auto"/>
        <w:ind w:firstLine="540"/>
        <w:jc w:val="both"/>
        <w:rPr>
          <w:rFonts w:ascii="Book Antiqua" w:hAnsi="Book Antiqua"/>
          <w:lang w:val="es-PR"/>
        </w:rPr>
      </w:pPr>
      <w:r w:rsidRPr="003B641B">
        <w:rPr>
          <w:rFonts w:ascii="Book Antiqua" w:hAnsi="Book Antiqua"/>
          <w:lang w:val="es-PR"/>
        </w:rPr>
        <w:t>El problema de animales realengos, abandonados y maltratados en Puerto Rico requiere respuestas coordinadas entre el Gobierno, los municipios, las entidades sin fines de lucro, los rescatistas y la ciudadanía. La sobrepoblación de animales no solo representa un asunto de bienestar animal, sino también un reto de salud pública, seguridad comunitaria, salubridad y manejo responsable de recursos.</w:t>
      </w:r>
    </w:p>
    <w:p w14:paraId="4BABCFFD" w14:textId="77777777" w:rsidR="00583DCB" w:rsidRPr="003B641B" w:rsidRDefault="00583DCB" w:rsidP="009C43F4">
      <w:pPr>
        <w:spacing w:before="120" w:after="120" w:line="360" w:lineRule="auto"/>
        <w:ind w:firstLine="540"/>
        <w:jc w:val="both"/>
        <w:rPr>
          <w:rFonts w:ascii="Book Antiqua" w:hAnsi="Book Antiqua"/>
          <w:lang w:val="es-PR"/>
        </w:rPr>
      </w:pPr>
      <w:r w:rsidRPr="003B641B">
        <w:rPr>
          <w:rFonts w:ascii="Book Antiqua" w:hAnsi="Book Antiqua"/>
          <w:lang w:val="es-PR"/>
        </w:rPr>
        <w:t>Las organizaciones dedicadas al rescate, albergue, adopción, esterilización, cuidado temporero y manejo humanitario de animales realizan una función esencial en la atención de esta problemática. Muchas de estas entidades operan con recursos limitados y dependen de donativos, voluntarios y colaboraciones comunitarias para atender una necesidad pública que continúa creciendo.</w:t>
      </w:r>
    </w:p>
    <w:p w14:paraId="1956EEF6" w14:textId="77777777" w:rsidR="00583DCB" w:rsidRPr="003B641B" w:rsidRDefault="00583DCB" w:rsidP="009C43F4">
      <w:pPr>
        <w:spacing w:before="120" w:after="120" w:line="360" w:lineRule="auto"/>
        <w:ind w:firstLine="720"/>
        <w:jc w:val="both"/>
        <w:rPr>
          <w:rFonts w:ascii="Book Antiqua" w:hAnsi="Book Antiqua"/>
          <w:lang w:val="es-PR"/>
        </w:rPr>
      </w:pPr>
      <w:r w:rsidRPr="003B641B">
        <w:rPr>
          <w:rFonts w:ascii="Book Antiqua" w:hAnsi="Book Antiqua"/>
          <w:lang w:val="es-PR"/>
        </w:rPr>
        <w:lastRenderedPageBreak/>
        <w:t>Una de las mayores limitaciones que enfrentan estas organizaciones es la falta de bienes, equipo y espacios adecuados. Vehículos, jaulas, generadores, neveras, equipo de oficina, materiales de limpieza, herramientas, mobiliario, computadoras o estructuras disponibles pueden representar una diferencia significativa para entidades que rescatan, alimentan, transportan, esterilizan, rehabilitan y ubican animales en adopción.</w:t>
      </w:r>
    </w:p>
    <w:p w14:paraId="371A02DF" w14:textId="77777777" w:rsidR="00583DCB" w:rsidRPr="003B641B" w:rsidRDefault="00583DCB" w:rsidP="009C43F4">
      <w:pPr>
        <w:spacing w:before="120" w:after="120" w:line="360" w:lineRule="auto"/>
        <w:ind w:firstLine="720"/>
        <w:jc w:val="both"/>
        <w:rPr>
          <w:rFonts w:ascii="Book Antiqua" w:hAnsi="Book Antiqua"/>
          <w:lang w:val="es-PR"/>
        </w:rPr>
      </w:pPr>
      <w:r w:rsidRPr="003B641B">
        <w:rPr>
          <w:rFonts w:ascii="Book Antiqua" w:hAnsi="Book Antiqua"/>
          <w:lang w:val="es-PR"/>
        </w:rPr>
        <w:t>Al mismo tiempo, el Gobierno de Puerto Rico cuenta con mecanismos legales para disponer de propiedad pública declarada excedente. La política pública sobre propiedad excedente permite que bienes que ya no son necesarios para una entidad gubernamental puedan ser reutilizados, transferidos, cedidos, vendidos o donados conforme a la ley. Ese mecanismo puede servir como una herramienta práctica para apoyar fines comunitarios de alto valor social sin crear necesariamente un nuevo programa de gasto recurrente.</w:t>
      </w:r>
    </w:p>
    <w:p w14:paraId="7BED04FE" w14:textId="77777777" w:rsidR="00583DCB" w:rsidRPr="003B641B" w:rsidRDefault="00583DCB" w:rsidP="009C43F4">
      <w:pPr>
        <w:spacing w:before="120" w:after="120" w:line="360" w:lineRule="auto"/>
        <w:ind w:firstLine="720"/>
        <w:jc w:val="both"/>
        <w:rPr>
          <w:rFonts w:ascii="Book Antiqua" w:hAnsi="Book Antiqua"/>
          <w:lang w:val="es-PR"/>
        </w:rPr>
      </w:pPr>
      <w:r w:rsidRPr="003B641B">
        <w:rPr>
          <w:rFonts w:ascii="Book Antiqua" w:hAnsi="Book Antiqua"/>
          <w:lang w:val="es-PR"/>
        </w:rPr>
        <w:t>Esta medida reconoce que las entidades sin fines de lucro dedicadas al bienestar animal atienden una necesidad pública real. Por ello, autoriza a la Administración de Servicios Generales a otorgar prioridad a dichas entidades en la disposición de propiedad pública excedente, cuando la propiedad sea útil para fines de rescate, albergue, adopción, esterilización, cuidado temporero, rehabilitación o manejo humanitario de animales realengos, abandonados o maltratados.</w:t>
      </w:r>
    </w:p>
    <w:p w14:paraId="4EE57843" w14:textId="77777777" w:rsidR="00583DCB" w:rsidRPr="003B641B" w:rsidRDefault="00583DCB" w:rsidP="009C43F4">
      <w:pPr>
        <w:spacing w:before="120" w:after="120" w:line="360" w:lineRule="auto"/>
        <w:ind w:firstLine="720"/>
        <w:jc w:val="both"/>
        <w:rPr>
          <w:rFonts w:ascii="Book Antiqua" w:hAnsi="Book Antiqua"/>
          <w:lang w:val="es-PR"/>
        </w:rPr>
      </w:pPr>
      <w:r w:rsidRPr="003B641B">
        <w:rPr>
          <w:rFonts w:ascii="Book Antiqua" w:hAnsi="Book Antiqua"/>
          <w:lang w:val="es-PR"/>
        </w:rPr>
        <w:t>La prioridad que se autoriza no constituye un derecho automático a recibir propiedad pública, ni exime a la entidad solicitante de cumplir con los requisitos legales, reglamentarios y administrativos aplicables. Tampoco afecta las restricciones, condiciones o requisitos federales que puedan aplicar a propiedad proveniente de programas federales o adquirida con fondos federales.</w:t>
      </w:r>
    </w:p>
    <w:p w14:paraId="2829A764" w14:textId="04B28148" w:rsidR="00081C69" w:rsidRPr="001D3E98" w:rsidRDefault="00583DCB" w:rsidP="009C43F4">
      <w:pPr>
        <w:spacing w:before="120" w:after="120" w:line="360" w:lineRule="auto"/>
        <w:ind w:firstLine="720"/>
        <w:jc w:val="both"/>
        <w:rPr>
          <w:rFonts w:ascii="Book Antiqua" w:hAnsi="Book Antiqua"/>
          <w:lang w:val="es-PR"/>
        </w:rPr>
      </w:pPr>
      <w:r w:rsidRPr="003B641B">
        <w:rPr>
          <w:rFonts w:ascii="Book Antiqua" w:hAnsi="Book Antiqua"/>
          <w:lang w:val="es-PR"/>
        </w:rPr>
        <w:t>Con esta legislación, la Asamblea Legislativa promueve la reutilización responsable de propiedad pública excedente, apoya la labor de entidades de bienestar animal y fortalece la respuesta social al problema de animales realengos y abandonados en Puerto Rico. Se trata de una medida de bajo costo fiscal, alto valor comunitario y alineada con una política pública de eficiencia, colaboración y bienestar general.</w:t>
      </w:r>
    </w:p>
    <w:p w14:paraId="61076059" w14:textId="77777777" w:rsidR="00081C69" w:rsidRDefault="00081C69">
      <w:pPr>
        <w:pStyle w:val="z-BottomofForm"/>
      </w:pPr>
      <w:r>
        <w:t>Bottom of Form</w:t>
      </w:r>
    </w:p>
    <w:p w14:paraId="412AEB4A" w14:textId="1A02A9C9" w:rsidR="00A37DBE" w:rsidRPr="00A4724C" w:rsidRDefault="00A37DBE" w:rsidP="0025618A">
      <w:pPr>
        <w:spacing w:line="480" w:lineRule="auto"/>
        <w:rPr>
          <w:rFonts w:ascii="Book Antiqua" w:hAnsi="Book Antiqua"/>
          <w:b/>
          <w:bCs/>
          <w:iCs/>
          <w:szCs w:val="24"/>
          <w:lang w:val="es-ES"/>
        </w:rPr>
      </w:pPr>
      <w:r w:rsidRPr="00A4724C">
        <w:rPr>
          <w:rFonts w:ascii="Book Antiqua" w:hAnsi="Book Antiqua"/>
          <w:b/>
          <w:bCs/>
          <w:iCs/>
          <w:szCs w:val="24"/>
          <w:lang w:val="es-ES"/>
        </w:rPr>
        <w:t>DECR</w:t>
      </w:r>
      <w:r w:rsidR="0025618A" w:rsidRPr="00A4724C">
        <w:rPr>
          <w:rFonts w:ascii="Book Antiqua" w:hAnsi="Book Antiqua"/>
          <w:b/>
          <w:bCs/>
          <w:iCs/>
          <w:szCs w:val="24"/>
          <w:lang w:val="es-ES"/>
        </w:rPr>
        <w:t>É</w:t>
      </w:r>
      <w:r w:rsidRPr="00A4724C">
        <w:rPr>
          <w:rFonts w:ascii="Book Antiqua" w:hAnsi="Book Antiqua"/>
          <w:b/>
          <w:bCs/>
          <w:iCs/>
          <w:szCs w:val="24"/>
          <w:lang w:val="es-ES"/>
        </w:rPr>
        <w:t>TASE POR LA ASAMBLEA LEGISLATIVA DE PUERTO RICO:</w:t>
      </w:r>
    </w:p>
    <w:p w14:paraId="26914EAD" w14:textId="77777777" w:rsidR="00A37DBE" w:rsidRPr="00A4724C" w:rsidRDefault="00A37DBE" w:rsidP="0057108C">
      <w:pPr>
        <w:spacing w:line="480" w:lineRule="auto"/>
        <w:jc w:val="both"/>
        <w:rPr>
          <w:rFonts w:ascii="Book Antiqua" w:hAnsi="Book Antiqua"/>
          <w:i/>
          <w:szCs w:val="24"/>
          <w:lang w:val="es-ES"/>
        </w:rPr>
        <w:sectPr w:rsidR="00A37DBE" w:rsidRPr="00A4724C">
          <w:headerReference w:type="default" r:id="rId12"/>
          <w:type w:val="continuous"/>
          <w:pgSz w:w="12240" w:h="15840" w:code="1"/>
          <w:pgMar w:top="1440" w:right="1440" w:bottom="1440" w:left="1440" w:header="720" w:footer="720" w:gutter="0"/>
          <w:cols w:space="720"/>
          <w:titlePg/>
        </w:sectPr>
      </w:pPr>
    </w:p>
    <w:p w14:paraId="1E41AFC3"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Sección 1.- Enmienda.</w:t>
      </w:r>
    </w:p>
    <w:p w14:paraId="59008E86"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Se enmienda el Artículo 22 de la Ley Núm. 73-2019, según enmendada, conocida como “Ley de la Administración de Servicios Generales para la Centralización de las Compras del Gobierno de Puerto Rico de 2019”, para añadir nuevos párrafos luego del inciso (e), que leerán como sigue:</w:t>
      </w:r>
    </w:p>
    <w:p w14:paraId="05689DD9"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“Artículo 22. — Propiedad excedente.</w:t>
      </w:r>
    </w:p>
    <w:p w14:paraId="197C4847"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w:t>
      </w:r>
    </w:p>
    <w:p w14:paraId="4FED9958"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e) traspaso, venta en subasta pública, cesión, donación o transferencia de equipo o propiedad a la Rama Ejecutiva, corporaciones públicas, municipios, y a organizaciones sin fines de lucro debidamente inscritas y en cumplimiento con el requerimiento de rendir Informes Anuales ante el Departamento de Estado, si aplica, o a toda persona agricultora bona fide certificada como tal por el Departamento de Agricultura, o que se dedique a la acuicultura, avicultura, artesanía, pesca, y porteadora o porteador público bona fide reconocido o autorizado a ejercer como tal por la entidad gubernamental con facultad para ello o venta en subasta pública entre los licitadores interesados.</w:t>
      </w:r>
    </w:p>
    <w:p w14:paraId="69209EBB" w14:textId="77777777" w:rsidR="00923198" w:rsidRPr="00703989" w:rsidRDefault="00923198" w:rsidP="001D3E98">
      <w:pPr>
        <w:spacing w:line="480" w:lineRule="auto"/>
        <w:ind w:firstLine="547"/>
        <w:jc w:val="both"/>
        <w:rPr>
          <w:rFonts w:ascii="Book Antiqua" w:hAnsi="Book Antiqua"/>
          <w:i/>
          <w:iCs/>
          <w:lang w:val="es-PR"/>
        </w:rPr>
      </w:pPr>
      <w:r w:rsidRPr="00703989">
        <w:rPr>
          <w:rFonts w:ascii="Book Antiqua" w:hAnsi="Book Antiqua"/>
          <w:i/>
          <w:iCs/>
          <w:lang w:val="es-PR"/>
        </w:rPr>
        <w:t>En la disposición de propiedad pública excedente autorizada al amparo de este Artículo, la Administración podrá otorgar prioridad a organizaciones sin fines de lucro debidamente inscritas y en cumplimiento con los requisitos aplicables, que se dediquen al rescate, albergue, adopción, esterilización, cuidado temporero, rehabilitación o manejo humanitario de animales realengos, abandonados o maltratados, cuando la propiedad solicitada sea útil para adelantar dichos fines.</w:t>
      </w:r>
    </w:p>
    <w:p w14:paraId="23765D01" w14:textId="77777777" w:rsidR="00923198" w:rsidRPr="00703989" w:rsidRDefault="00923198" w:rsidP="001D3E98">
      <w:pPr>
        <w:spacing w:line="480" w:lineRule="auto"/>
        <w:ind w:firstLine="547"/>
        <w:jc w:val="both"/>
        <w:rPr>
          <w:rFonts w:ascii="Book Antiqua" w:hAnsi="Book Antiqua"/>
          <w:i/>
          <w:iCs/>
          <w:lang w:val="es-PR"/>
        </w:rPr>
      </w:pPr>
      <w:r w:rsidRPr="00703989">
        <w:rPr>
          <w:rFonts w:ascii="Book Antiqua" w:hAnsi="Book Antiqua"/>
          <w:i/>
          <w:iCs/>
          <w:lang w:val="es-PR"/>
        </w:rPr>
        <w:t>La propiedad pública excedente a la que se refiere el párrafo anterior podrá incluir, sin limitarse a, vehículos, jaulas, equipo de transportación, equipo de oficina, neveras, generadores, materiales de limpieza, herramientas, equipo de almacenamiento, mobiliario, computadoras o propiedad inmueble apta para albergue, centro de adopción, centro de acopio, clínica de esterilización o servicios relacionados al bienestar animal.</w:t>
      </w:r>
    </w:p>
    <w:p w14:paraId="0EDAA684" w14:textId="77777777" w:rsidR="00923198" w:rsidRPr="00703989" w:rsidRDefault="00923198" w:rsidP="001D3E98">
      <w:pPr>
        <w:spacing w:line="480" w:lineRule="auto"/>
        <w:ind w:firstLine="547"/>
        <w:jc w:val="both"/>
        <w:rPr>
          <w:rFonts w:ascii="Book Antiqua" w:hAnsi="Book Antiqua"/>
          <w:i/>
          <w:iCs/>
          <w:lang w:val="es-PR"/>
        </w:rPr>
      </w:pPr>
      <w:r w:rsidRPr="00703989">
        <w:rPr>
          <w:rFonts w:ascii="Book Antiqua" w:hAnsi="Book Antiqua"/>
          <w:i/>
          <w:iCs/>
          <w:lang w:val="es-PR"/>
        </w:rPr>
        <w:t>La prioridad autorizada en este Artículo no constituirá un derecho automático a recibir propiedad pública excedente, ni eximirá a la entidad solicitante de cumplir con los requisitos de elegibilidad, disponibilidad, evaluación, uso, conservación, mantenimiento, seguros, permisos, salubridad, bienestar animal y demás condiciones que establezca la Administración mediante reglamento, carta circular, convocatoria, contrato o documento de transferencia.</w:t>
      </w:r>
    </w:p>
    <w:p w14:paraId="7532BD70" w14:textId="77777777" w:rsidR="00923198" w:rsidRPr="00703989" w:rsidRDefault="00923198" w:rsidP="001D3E98">
      <w:pPr>
        <w:spacing w:line="480" w:lineRule="auto"/>
        <w:ind w:firstLine="547"/>
        <w:jc w:val="both"/>
        <w:rPr>
          <w:rFonts w:ascii="Book Antiqua" w:hAnsi="Book Antiqua"/>
          <w:i/>
          <w:iCs/>
          <w:lang w:val="es-PR"/>
        </w:rPr>
      </w:pPr>
      <w:r w:rsidRPr="00703989">
        <w:rPr>
          <w:rFonts w:ascii="Book Antiqua" w:hAnsi="Book Antiqua"/>
          <w:i/>
          <w:iCs/>
          <w:lang w:val="es-PR"/>
        </w:rPr>
        <w:t>Toda transferencia, cesión, donación o disposición de propiedad pública excedente realizada al amparo de los párrafos anteriores deberá estar sujeta a condiciones de uso dirigidas a asegurar que la propiedad se utilice para el fin público autorizado. Dichas condiciones incluirán, cuando aplique, una cláusula de reversión, devolución, revocación o recobro en caso de incumplimiento, abandono, transferencia no autorizada, pérdida del fin público o uso distinto al autorizado.</w:t>
      </w:r>
    </w:p>
    <w:p w14:paraId="369A6753" w14:textId="77777777" w:rsidR="00923198" w:rsidRPr="00703989" w:rsidRDefault="00923198" w:rsidP="001D3E98">
      <w:pPr>
        <w:spacing w:line="480" w:lineRule="auto"/>
        <w:ind w:firstLine="547"/>
        <w:jc w:val="both"/>
        <w:rPr>
          <w:rFonts w:ascii="Book Antiqua" w:hAnsi="Book Antiqua"/>
          <w:i/>
          <w:iCs/>
          <w:lang w:val="es-PR"/>
        </w:rPr>
      </w:pPr>
      <w:r w:rsidRPr="00703989">
        <w:rPr>
          <w:rFonts w:ascii="Book Antiqua" w:hAnsi="Book Antiqua"/>
          <w:i/>
          <w:iCs/>
          <w:lang w:val="es-PR"/>
        </w:rPr>
        <w:t>Nada de lo dispuesto en este Artículo se interpretará como una autorización para disponer de propiedad pública excedente en contravención con requisitos federales, restricciones de uso, condiciones de transferencia, gravámenes, normas de disposición o limitaciones aplicables a propiedad proveniente de programas federales o adquirida con fondos federales.</w:t>
      </w:r>
    </w:p>
    <w:p w14:paraId="5C7ABBBC"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w:t>
      </w:r>
    </w:p>
    <w:p w14:paraId="6B80FA4E"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Sección 2.- Reglamentación.</w:t>
      </w:r>
    </w:p>
    <w:p w14:paraId="4E0F6876"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La Administración de Servicios Generales podrá revisar sus reglamentos, cartas circulares, guías, formularios o procedimientos internos sobre propiedad excedente para implantar las disposiciones de esta Ley, incluyendo los criterios de elegibilidad, evaluación, documentación, transferencia, uso, fiscalización y reversión aplicables.</w:t>
      </w:r>
    </w:p>
    <w:p w14:paraId="402766E3"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Sección 3.- Aplicabilidad.</w:t>
      </w:r>
    </w:p>
    <w:p w14:paraId="42A2DB25"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Las disposiciones de esta Ley aplicarán a los procesos de disposición de propiedad pública excedente iniciados con posterioridad a la fecha de vigencia de esta Ley.</w:t>
      </w:r>
    </w:p>
    <w:p w14:paraId="7CBDFB9F"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Sección 4.- Separabilidad.</w:t>
      </w:r>
    </w:p>
    <w:p w14:paraId="7B2B12BE" w14:textId="77777777" w:rsidR="00B60DD9" w:rsidRDefault="00923198" w:rsidP="001D3E98">
      <w:pPr>
        <w:spacing w:line="480" w:lineRule="auto"/>
        <w:ind w:firstLine="547"/>
        <w:jc w:val="both"/>
        <w:rPr>
          <w:rFonts w:ascii="Book Antiqua" w:hAnsi="Book Antiqua"/>
          <w:lang w:val="es-PR"/>
        </w:rPr>
      </w:pPr>
      <w:r w:rsidRPr="00464ED4">
        <w:rPr>
          <w:rFonts w:ascii="Book Antiqua" w:hAnsi="Book Antiqua"/>
          <w:lang w:val="es-PR"/>
        </w:rPr>
        <w:t xml:space="preserve">Si cualquier cláusula, párrafo, subpárrafo, oración, palabra, letra, artículo, disposición, sección o parte de esta Ley fuera anulada o declarada inconstitucional, la resolución, dictamen o sentencia a tal efecto dictada no afectará, perjudicará ni invalidará el remanente de esta Ley. </w:t>
      </w:r>
    </w:p>
    <w:p w14:paraId="1F6AF328" w14:textId="0F3B90B4"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El efecto de dicha sentencia quedará limitado a la cláusula, párrafo, subpárrafo, oración, palabra, letra, artículo, disposición, sección o parte que así hubiere sido anulada o declarada inconstitucional.</w:t>
      </w:r>
    </w:p>
    <w:p w14:paraId="64FF0AB0" w14:textId="77777777" w:rsidR="0092319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Sección 5.- Vigencia.</w:t>
      </w:r>
    </w:p>
    <w:p w14:paraId="3693A0E6" w14:textId="33467C1D" w:rsidR="00B83CD8" w:rsidRPr="00464ED4" w:rsidRDefault="00923198" w:rsidP="001D3E98">
      <w:pPr>
        <w:spacing w:line="480" w:lineRule="auto"/>
        <w:ind w:firstLine="547"/>
        <w:jc w:val="both"/>
        <w:rPr>
          <w:rFonts w:ascii="Book Antiqua" w:hAnsi="Book Antiqua"/>
          <w:lang w:val="es-PR"/>
        </w:rPr>
      </w:pPr>
      <w:r w:rsidRPr="00464ED4">
        <w:rPr>
          <w:rFonts w:ascii="Book Antiqua" w:hAnsi="Book Antiqua"/>
          <w:lang w:val="es-PR"/>
        </w:rPr>
        <w:t>Esta Ley comenzará a regir inmediatamente después de su aprobación.</w:t>
      </w:r>
    </w:p>
    <w:sectPr w:rsidR="00B83CD8" w:rsidRPr="00464ED4" w:rsidSect="0025618A">
      <w:type w:val="continuous"/>
      <w:pgSz w:w="12240" w:h="15840" w:code="1"/>
      <w:pgMar w:top="1440" w:right="1440" w:bottom="1440" w:left="1440" w:header="720" w:footer="720" w:gutter="0"/>
      <w:lnNumType w:countBy="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9954" w14:textId="77777777" w:rsidR="008250DE" w:rsidRDefault="008250DE">
      <w:r>
        <w:separator/>
      </w:r>
    </w:p>
  </w:endnote>
  <w:endnote w:type="continuationSeparator" w:id="0">
    <w:p w14:paraId="14BB49EE" w14:textId="77777777" w:rsidR="008250DE" w:rsidRDefault="00825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2B05D" w14:textId="77777777" w:rsidR="008250DE" w:rsidRDefault="008250DE">
      <w:r>
        <w:separator/>
      </w:r>
    </w:p>
  </w:footnote>
  <w:footnote w:type="continuationSeparator" w:id="0">
    <w:p w14:paraId="7EF956C7" w14:textId="77777777" w:rsidR="008250DE" w:rsidRDefault="00825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8FF8" w14:textId="77777777" w:rsidR="00B1119F" w:rsidRDefault="00B1119F">
    <w:pPr>
      <w:pStyle w:val="Header"/>
      <w:jc w:val="center"/>
    </w:pPr>
    <w:r>
      <w:rPr>
        <w:rStyle w:val="PageNumber"/>
      </w:rPr>
      <w:fldChar w:fldCharType="begin"/>
    </w:r>
    <w:r>
      <w:rPr>
        <w:rStyle w:val="PageNumber"/>
      </w:rPr>
      <w:instrText xml:space="preserve"> PAGE </w:instrText>
    </w:r>
    <w:r>
      <w:rPr>
        <w:rStyle w:val="PageNumber"/>
      </w:rPr>
      <w:fldChar w:fldCharType="separate"/>
    </w:r>
    <w:r w:rsidR="004117FC">
      <w:rPr>
        <w:rStyle w:val="PageNumber"/>
        <w:noProof/>
      </w:rPr>
      <w:t>8</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71F4"/>
    <w:multiLevelType w:val="hybridMultilevel"/>
    <w:tmpl w:val="C916E8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F42B5A"/>
    <w:multiLevelType w:val="hybridMultilevel"/>
    <w:tmpl w:val="A61E42D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CF7308"/>
    <w:multiLevelType w:val="hybridMultilevel"/>
    <w:tmpl w:val="1AE2AE3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107C1"/>
    <w:multiLevelType w:val="hybridMultilevel"/>
    <w:tmpl w:val="196EFAC0"/>
    <w:lvl w:ilvl="0" w:tplc="05D28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449FB"/>
    <w:multiLevelType w:val="hybridMultilevel"/>
    <w:tmpl w:val="FF701DBC"/>
    <w:lvl w:ilvl="0" w:tplc="FFFFFFFF">
      <w:start w:val="1"/>
      <w:numFmt w:val="low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610F0F"/>
    <w:multiLevelType w:val="hybridMultilevel"/>
    <w:tmpl w:val="B86C7B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7A447A"/>
    <w:multiLevelType w:val="hybridMultilevel"/>
    <w:tmpl w:val="55B8CBD8"/>
    <w:lvl w:ilvl="0" w:tplc="FFFFFFFF">
      <w:start w:val="1"/>
      <w:numFmt w:val="lowerLetter"/>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875F2E"/>
    <w:multiLevelType w:val="hybridMultilevel"/>
    <w:tmpl w:val="5FCCAF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9A61BF"/>
    <w:multiLevelType w:val="hybridMultilevel"/>
    <w:tmpl w:val="70D8996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606EAB"/>
    <w:multiLevelType w:val="hybridMultilevel"/>
    <w:tmpl w:val="C8AE468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257824"/>
    <w:multiLevelType w:val="hybridMultilevel"/>
    <w:tmpl w:val="B2EEC7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56506AE"/>
    <w:multiLevelType w:val="hybridMultilevel"/>
    <w:tmpl w:val="4F2E0B7A"/>
    <w:lvl w:ilvl="0" w:tplc="FFFFFFF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E73DA4"/>
    <w:multiLevelType w:val="hybridMultilevel"/>
    <w:tmpl w:val="410A746C"/>
    <w:lvl w:ilvl="0" w:tplc="352095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62F1C"/>
    <w:multiLevelType w:val="hybridMultilevel"/>
    <w:tmpl w:val="84F095A6"/>
    <w:lvl w:ilvl="0" w:tplc="D4984A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93424B"/>
    <w:multiLevelType w:val="hybridMultilevel"/>
    <w:tmpl w:val="14FAFF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E293512"/>
    <w:multiLevelType w:val="hybridMultilevel"/>
    <w:tmpl w:val="51A81D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3F6967"/>
    <w:multiLevelType w:val="hybridMultilevel"/>
    <w:tmpl w:val="9B628DA4"/>
    <w:lvl w:ilvl="0" w:tplc="FFFFFFFF">
      <w:start w:val="1"/>
      <w:numFmt w:val="low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7E4665"/>
    <w:multiLevelType w:val="hybridMultilevel"/>
    <w:tmpl w:val="52F860F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86786"/>
    <w:multiLevelType w:val="hybridMultilevel"/>
    <w:tmpl w:val="9AD6927C"/>
    <w:lvl w:ilvl="0" w:tplc="FFFFFFF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70C9A"/>
    <w:multiLevelType w:val="hybridMultilevel"/>
    <w:tmpl w:val="1F5C77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5572B2"/>
    <w:multiLevelType w:val="hybridMultilevel"/>
    <w:tmpl w:val="6404541E"/>
    <w:lvl w:ilvl="0" w:tplc="FFFFFFF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684564"/>
    <w:multiLevelType w:val="hybridMultilevel"/>
    <w:tmpl w:val="C24EB6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49727A"/>
    <w:multiLevelType w:val="hybridMultilevel"/>
    <w:tmpl w:val="FA7AB4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D1D3B05"/>
    <w:multiLevelType w:val="hybridMultilevel"/>
    <w:tmpl w:val="C93460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E1441E7"/>
    <w:multiLevelType w:val="hybridMultilevel"/>
    <w:tmpl w:val="1512D7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6265150"/>
    <w:multiLevelType w:val="hybridMultilevel"/>
    <w:tmpl w:val="FB162D2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0D3206"/>
    <w:multiLevelType w:val="hybridMultilevel"/>
    <w:tmpl w:val="87B81BD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7D782C"/>
    <w:multiLevelType w:val="hybridMultilevel"/>
    <w:tmpl w:val="61D0DC82"/>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B802D0"/>
    <w:multiLevelType w:val="hybridMultilevel"/>
    <w:tmpl w:val="F848A870"/>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0EB135D"/>
    <w:multiLevelType w:val="hybridMultilevel"/>
    <w:tmpl w:val="6FF2FC80"/>
    <w:lvl w:ilvl="0" w:tplc="FFFFFFF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04F9B"/>
    <w:multiLevelType w:val="hybridMultilevel"/>
    <w:tmpl w:val="55AABD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22343ED"/>
    <w:multiLevelType w:val="hybridMultilevel"/>
    <w:tmpl w:val="07A0D7D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BF5C23"/>
    <w:multiLevelType w:val="hybridMultilevel"/>
    <w:tmpl w:val="431AC55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640F04"/>
    <w:multiLevelType w:val="hybridMultilevel"/>
    <w:tmpl w:val="94F275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A355E3F"/>
    <w:multiLevelType w:val="hybridMultilevel"/>
    <w:tmpl w:val="CFD49E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A5640A"/>
    <w:multiLevelType w:val="hybridMultilevel"/>
    <w:tmpl w:val="1C6CCF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CF25D1"/>
    <w:multiLevelType w:val="hybridMultilevel"/>
    <w:tmpl w:val="0422F15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27E"/>
    <w:multiLevelType w:val="hybridMultilevel"/>
    <w:tmpl w:val="F8B4C9A6"/>
    <w:lvl w:ilvl="0" w:tplc="FFFFFFFF">
      <w:start w:val="1"/>
      <w:numFmt w:val="decimal"/>
      <w:lvlText w:val="%1."/>
      <w:lvlJc w:val="left"/>
      <w:pPr>
        <w:ind w:left="1080" w:hanging="360"/>
      </w:pPr>
      <w:rPr>
        <w:rFonts w:ascii="Times New Roman" w:hAnsi="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3225CCA"/>
    <w:multiLevelType w:val="hybridMultilevel"/>
    <w:tmpl w:val="D70EEE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34804A6"/>
    <w:multiLevelType w:val="hybridMultilevel"/>
    <w:tmpl w:val="E3CEED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7A608B0"/>
    <w:multiLevelType w:val="hybridMultilevel"/>
    <w:tmpl w:val="DDAE0588"/>
    <w:lvl w:ilvl="0" w:tplc="FFFFFFF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012DE4"/>
    <w:multiLevelType w:val="hybridMultilevel"/>
    <w:tmpl w:val="8166A8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D6B6D9D"/>
    <w:multiLevelType w:val="hybridMultilevel"/>
    <w:tmpl w:val="D4FC4F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1C43375"/>
    <w:multiLevelType w:val="hybridMultilevel"/>
    <w:tmpl w:val="9F40ED18"/>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A3598B"/>
    <w:multiLevelType w:val="hybridMultilevel"/>
    <w:tmpl w:val="EC9CE1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5731D70"/>
    <w:multiLevelType w:val="hybridMultilevel"/>
    <w:tmpl w:val="05A85B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0E2B5A"/>
    <w:multiLevelType w:val="hybridMultilevel"/>
    <w:tmpl w:val="A420D9CE"/>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DC2E05"/>
    <w:multiLevelType w:val="hybridMultilevel"/>
    <w:tmpl w:val="00DC7928"/>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EA54A8"/>
    <w:multiLevelType w:val="hybridMultilevel"/>
    <w:tmpl w:val="F5FEB82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3966249">
    <w:abstractNumId w:val="8"/>
  </w:num>
  <w:num w:numId="2" w16cid:durableId="1414276131">
    <w:abstractNumId w:val="12"/>
  </w:num>
  <w:num w:numId="3" w16cid:durableId="295333388">
    <w:abstractNumId w:val="3"/>
  </w:num>
  <w:num w:numId="4" w16cid:durableId="1035276381">
    <w:abstractNumId w:val="39"/>
  </w:num>
  <w:num w:numId="5" w16cid:durableId="577401605">
    <w:abstractNumId w:val="33"/>
  </w:num>
  <w:num w:numId="6" w16cid:durableId="690423038">
    <w:abstractNumId w:val="22"/>
  </w:num>
  <w:num w:numId="7" w16cid:durableId="354580874">
    <w:abstractNumId w:val="41"/>
  </w:num>
  <w:num w:numId="8" w16cid:durableId="782530432">
    <w:abstractNumId w:val="21"/>
  </w:num>
  <w:num w:numId="9" w16cid:durableId="1636059236">
    <w:abstractNumId w:val="38"/>
  </w:num>
  <w:num w:numId="10" w16cid:durableId="1924996564">
    <w:abstractNumId w:val="45"/>
  </w:num>
  <w:num w:numId="11" w16cid:durableId="1423254503">
    <w:abstractNumId w:val="14"/>
  </w:num>
  <w:num w:numId="12" w16cid:durableId="1372459587">
    <w:abstractNumId w:val="23"/>
  </w:num>
  <w:num w:numId="13" w16cid:durableId="1745495407">
    <w:abstractNumId w:val="34"/>
  </w:num>
  <w:num w:numId="14" w16cid:durableId="2125994539">
    <w:abstractNumId w:val="15"/>
  </w:num>
  <w:num w:numId="15" w16cid:durableId="1301962837">
    <w:abstractNumId w:val="35"/>
  </w:num>
  <w:num w:numId="16" w16cid:durableId="1277714500">
    <w:abstractNumId w:val="30"/>
  </w:num>
  <w:num w:numId="17" w16cid:durableId="165676928">
    <w:abstractNumId w:val="42"/>
  </w:num>
  <w:num w:numId="18" w16cid:durableId="1198471232">
    <w:abstractNumId w:val="19"/>
  </w:num>
  <w:num w:numId="19" w16cid:durableId="608318521">
    <w:abstractNumId w:val="24"/>
  </w:num>
  <w:num w:numId="20" w16cid:durableId="390351189">
    <w:abstractNumId w:val="7"/>
  </w:num>
  <w:num w:numId="21" w16cid:durableId="1755662874">
    <w:abstractNumId w:val="1"/>
  </w:num>
  <w:num w:numId="22" w16cid:durableId="1725446384">
    <w:abstractNumId w:val="5"/>
  </w:num>
  <w:num w:numId="23" w16cid:durableId="1903249987">
    <w:abstractNumId w:val="11"/>
  </w:num>
  <w:num w:numId="24" w16cid:durableId="1322928102">
    <w:abstractNumId w:val="37"/>
  </w:num>
  <w:num w:numId="25" w16cid:durableId="182980968">
    <w:abstractNumId w:val="40"/>
  </w:num>
  <w:num w:numId="26" w16cid:durableId="438991848">
    <w:abstractNumId w:val="29"/>
  </w:num>
  <w:num w:numId="27" w16cid:durableId="984700002">
    <w:abstractNumId w:val="2"/>
  </w:num>
  <w:num w:numId="28" w16cid:durableId="122968854">
    <w:abstractNumId w:val="32"/>
  </w:num>
  <w:num w:numId="29" w16cid:durableId="2116631758">
    <w:abstractNumId w:val="48"/>
  </w:num>
  <w:num w:numId="30" w16cid:durableId="1030305821">
    <w:abstractNumId w:val="25"/>
  </w:num>
  <w:num w:numId="31" w16cid:durableId="250897778">
    <w:abstractNumId w:val="36"/>
  </w:num>
  <w:num w:numId="32" w16cid:durableId="1231694464">
    <w:abstractNumId w:val="17"/>
  </w:num>
  <w:num w:numId="33" w16cid:durableId="1630669016">
    <w:abstractNumId w:val="9"/>
  </w:num>
  <w:num w:numId="34" w16cid:durableId="411703063">
    <w:abstractNumId w:val="31"/>
  </w:num>
  <w:num w:numId="35" w16cid:durableId="1220701045">
    <w:abstractNumId w:val="26"/>
  </w:num>
  <w:num w:numId="36" w16cid:durableId="1760373807">
    <w:abstractNumId w:val="20"/>
  </w:num>
  <w:num w:numId="37" w16cid:durableId="1565137492">
    <w:abstractNumId w:val="18"/>
  </w:num>
  <w:num w:numId="38" w16cid:durableId="1455783447">
    <w:abstractNumId w:val="10"/>
  </w:num>
  <w:num w:numId="39" w16cid:durableId="1510833509">
    <w:abstractNumId w:val="16"/>
  </w:num>
  <w:num w:numId="40" w16cid:durableId="1642540911">
    <w:abstractNumId w:val="4"/>
  </w:num>
  <w:num w:numId="41" w16cid:durableId="1202476375">
    <w:abstractNumId w:val="6"/>
  </w:num>
  <w:num w:numId="42" w16cid:durableId="1247959002">
    <w:abstractNumId w:val="0"/>
  </w:num>
  <w:num w:numId="43" w16cid:durableId="1326056317">
    <w:abstractNumId w:val="44"/>
  </w:num>
  <w:num w:numId="44" w16cid:durableId="121388338">
    <w:abstractNumId w:val="13"/>
  </w:num>
  <w:num w:numId="45" w16cid:durableId="1869563505">
    <w:abstractNumId w:val="27"/>
  </w:num>
  <w:num w:numId="46" w16cid:durableId="594050826">
    <w:abstractNumId w:val="28"/>
  </w:num>
  <w:num w:numId="47" w16cid:durableId="705912227">
    <w:abstractNumId w:val="47"/>
  </w:num>
  <w:num w:numId="48" w16cid:durableId="1007056638">
    <w:abstractNumId w:val="43"/>
  </w:num>
  <w:num w:numId="49" w16cid:durableId="1142817883">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ambleaNum" w:val="1"/>
    <w:docVar w:name="AsambleaSup" w:val="ra"/>
    <w:docVar w:name="Direccion" w:val="addr1addr2San JuanPR00911"/>
    <w:docVar w:name="FallecimientoDe" w:val="Ramona Solís"/>
    <w:docVar w:name="Fecha" w:val="aaa"/>
    <w:docVar w:name="Mocion_A" w:val="Ricardo Ramos Solís"/>
    <w:docVar w:name="Senador_a1" w:val="El Senador"/>
    <w:docVar w:name="Senador_a2" w:val="Senador"/>
    <w:docVar w:name="Senator_a1" w:val="El Senador"/>
    <w:docVar w:name="Senator_a2" w:val="Senador"/>
    <w:docVar w:name="SesionNum" w:val="2"/>
    <w:docVar w:name="SesionSup" w:val="da"/>
    <w:docVar w:name="SesionTipo" w:val="Ordinaria"/>
  </w:docVars>
  <w:rsids>
    <w:rsidRoot w:val="004440CB"/>
    <w:rsid w:val="000029E2"/>
    <w:rsid w:val="00005B06"/>
    <w:rsid w:val="000069DE"/>
    <w:rsid w:val="0000702B"/>
    <w:rsid w:val="000072E5"/>
    <w:rsid w:val="00007D7C"/>
    <w:rsid w:val="00012647"/>
    <w:rsid w:val="00015708"/>
    <w:rsid w:val="000160C3"/>
    <w:rsid w:val="00016153"/>
    <w:rsid w:val="000170A4"/>
    <w:rsid w:val="00020902"/>
    <w:rsid w:val="00020F25"/>
    <w:rsid w:val="00020FAB"/>
    <w:rsid w:val="00025FD8"/>
    <w:rsid w:val="00027C87"/>
    <w:rsid w:val="000359C4"/>
    <w:rsid w:val="000425F8"/>
    <w:rsid w:val="00044D89"/>
    <w:rsid w:val="00047DCB"/>
    <w:rsid w:val="000521D3"/>
    <w:rsid w:val="00052843"/>
    <w:rsid w:val="00057748"/>
    <w:rsid w:val="00062686"/>
    <w:rsid w:val="00063522"/>
    <w:rsid w:val="00063A10"/>
    <w:rsid w:val="00066368"/>
    <w:rsid w:val="00066480"/>
    <w:rsid w:val="000703C4"/>
    <w:rsid w:val="000712DA"/>
    <w:rsid w:val="00072CDA"/>
    <w:rsid w:val="000733C7"/>
    <w:rsid w:val="000741D2"/>
    <w:rsid w:val="00076094"/>
    <w:rsid w:val="00076357"/>
    <w:rsid w:val="0007635D"/>
    <w:rsid w:val="00076779"/>
    <w:rsid w:val="00081C69"/>
    <w:rsid w:val="000845DE"/>
    <w:rsid w:val="000852C9"/>
    <w:rsid w:val="00086F51"/>
    <w:rsid w:val="00087DCB"/>
    <w:rsid w:val="00090C9B"/>
    <w:rsid w:val="00092A91"/>
    <w:rsid w:val="0009309C"/>
    <w:rsid w:val="0009350A"/>
    <w:rsid w:val="00093D87"/>
    <w:rsid w:val="00094A5A"/>
    <w:rsid w:val="000964AF"/>
    <w:rsid w:val="00096F44"/>
    <w:rsid w:val="00097612"/>
    <w:rsid w:val="000A11EE"/>
    <w:rsid w:val="000A12D4"/>
    <w:rsid w:val="000A6686"/>
    <w:rsid w:val="000B399E"/>
    <w:rsid w:val="000B6173"/>
    <w:rsid w:val="000C0325"/>
    <w:rsid w:val="000C1292"/>
    <w:rsid w:val="000C1298"/>
    <w:rsid w:val="000C20B8"/>
    <w:rsid w:val="000C23BC"/>
    <w:rsid w:val="000D018D"/>
    <w:rsid w:val="000D0BD6"/>
    <w:rsid w:val="000D59AF"/>
    <w:rsid w:val="000D6328"/>
    <w:rsid w:val="000D715F"/>
    <w:rsid w:val="000E19C2"/>
    <w:rsid w:val="000E2356"/>
    <w:rsid w:val="000E4FAA"/>
    <w:rsid w:val="000F09B2"/>
    <w:rsid w:val="000F3585"/>
    <w:rsid w:val="000F7A76"/>
    <w:rsid w:val="00100340"/>
    <w:rsid w:val="00102B7A"/>
    <w:rsid w:val="001031BF"/>
    <w:rsid w:val="0011217B"/>
    <w:rsid w:val="00112295"/>
    <w:rsid w:val="001144E7"/>
    <w:rsid w:val="0012065D"/>
    <w:rsid w:val="001213CC"/>
    <w:rsid w:val="00123389"/>
    <w:rsid w:val="001335BB"/>
    <w:rsid w:val="00134C8A"/>
    <w:rsid w:val="00135D77"/>
    <w:rsid w:val="001369AB"/>
    <w:rsid w:val="00137740"/>
    <w:rsid w:val="00137AAD"/>
    <w:rsid w:val="00145EEE"/>
    <w:rsid w:val="00146882"/>
    <w:rsid w:val="00151613"/>
    <w:rsid w:val="0015177A"/>
    <w:rsid w:val="00153ABD"/>
    <w:rsid w:val="001561D0"/>
    <w:rsid w:val="00162FD8"/>
    <w:rsid w:val="001633B3"/>
    <w:rsid w:val="0016377D"/>
    <w:rsid w:val="0016412B"/>
    <w:rsid w:val="0016571A"/>
    <w:rsid w:val="00167557"/>
    <w:rsid w:val="0017144A"/>
    <w:rsid w:val="0017507C"/>
    <w:rsid w:val="00180243"/>
    <w:rsid w:val="00181955"/>
    <w:rsid w:val="001833AA"/>
    <w:rsid w:val="001840BC"/>
    <w:rsid w:val="00184389"/>
    <w:rsid w:val="00184A19"/>
    <w:rsid w:val="00185C86"/>
    <w:rsid w:val="00185CF7"/>
    <w:rsid w:val="001870ED"/>
    <w:rsid w:val="001A23C1"/>
    <w:rsid w:val="001B0129"/>
    <w:rsid w:val="001B031F"/>
    <w:rsid w:val="001B0A8A"/>
    <w:rsid w:val="001B3A9E"/>
    <w:rsid w:val="001B56ED"/>
    <w:rsid w:val="001B5E6A"/>
    <w:rsid w:val="001B7302"/>
    <w:rsid w:val="001B74E2"/>
    <w:rsid w:val="001B7DFE"/>
    <w:rsid w:val="001C2D50"/>
    <w:rsid w:val="001C3192"/>
    <w:rsid w:val="001C4822"/>
    <w:rsid w:val="001C4871"/>
    <w:rsid w:val="001C48B1"/>
    <w:rsid w:val="001C781D"/>
    <w:rsid w:val="001C7E0E"/>
    <w:rsid w:val="001D07F3"/>
    <w:rsid w:val="001D133A"/>
    <w:rsid w:val="001D33D4"/>
    <w:rsid w:val="001D3E98"/>
    <w:rsid w:val="001D4F0D"/>
    <w:rsid w:val="001D6561"/>
    <w:rsid w:val="001E0121"/>
    <w:rsid w:val="001E196F"/>
    <w:rsid w:val="001E35BA"/>
    <w:rsid w:val="001E443E"/>
    <w:rsid w:val="001E4921"/>
    <w:rsid w:val="001E52A7"/>
    <w:rsid w:val="001E5968"/>
    <w:rsid w:val="001F026C"/>
    <w:rsid w:val="001F1316"/>
    <w:rsid w:val="001F196F"/>
    <w:rsid w:val="001F4A17"/>
    <w:rsid w:val="00201EF2"/>
    <w:rsid w:val="00202AD9"/>
    <w:rsid w:val="00204317"/>
    <w:rsid w:val="00204818"/>
    <w:rsid w:val="00204992"/>
    <w:rsid w:val="00205E17"/>
    <w:rsid w:val="002064DA"/>
    <w:rsid w:val="00210857"/>
    <w:rsid w:val="00216293"/>
    <w:rsid w:val="00216F04"/>
    <w:rsid w:val="002206E3"/>
    <w:rsid w:val="002212D9"/>
    <w:rsid w:val="00221E87"/>
    <w:rsid w:val="00222249"/>
    <w:rsid w:val="00222749"/>
    <w:rsid w:val="00222D0D"/>
    <w:rsid w:val="00223A68"/>
    <w:rsid w:val="00224A5E"/>
    <w:rsid w:val="00225800"/>
    <w:rsid w:val="002258F2"/>
    <w:rsid w:val="002265FE"/>
    <w:rsid w:val="00227856"/>
    <w:rsid w:val="00230D46"/>
    <w:rsid w:val="00232EA7"/>
    <w:rsid w:val="002377B8"/>
    <w:rsid w:val="002431E0"/>
    <w:rsid w:val="00243F00"/>
    <w:rsid w:val="00244B5A"/>
    <w:rsid w:val="00250106"/>
    <w:rsid w:val="00250BB6"/>
    <w:rsid w:val="00255682"/>
    <w:rsid w:val="0025618A"/>
    <w:rsid w:val="0026049B"/>
    <w:rsid w:val="002606B1"/>
    <w:rsid w:val="00260857"/>
    <w:rsid w:val="00266239"/>
    <w:rsid w:val="002674DD"/>
    <w:rsid w:val="00270A5F"/>
    <w:rsid w:val="00270C68"/>
    <w:rsid w:val="0027295C"/>
    <w:rsid w:val="00273A10"/>
    <w:rsid w:val="0027587B"/>
    <w:rsid w:val="00275C07"/>
    <w:rsid w:val="00275EB2"/>
    <w:rsid w:val="00277458"/>
    <w:rsid w:val="002804E9"/>
    <w:rsid w:val="00280DA3"/>
    <w:rsid w:val="00280E92"/>
    <w:rsid w:val="00281004"/>
    <w:rsid w:val="00282902"/>
    <w:rsid w:val="002835B3"/>
    <w:rsid w:val="00284B9A"/>
    <w:rsid w:val="00285858"/>
    <w:rsid w:val="0028653A"/>
    <w:rsid w:val="00291CF2"/>
    <w:rsid w:val="00292E61"/>
    <w:rsid w:val="0029399E"/>
    <w:rsid w:val="00294344"/>
    <w:rsid w:val="00296777"/>
    <w:rsid w:val="002A0E6C"/>
    <w:rsid w:val="002A127E"/>
    <w:rsid w:val="002A1743"/>
    <w:rsid w:val="002A208D"/>
    <w:rsid w:val="002A6230"/>
    <w:rsid w:val="002A63A4"/>
    <w:rsid w:val="002A678A"/>
    <w:rsid w:val="002A741A"/>
    <w:rsid w:val="002B6A73"/>
    <w:rsid w:val="002B7911"/>
    <w:rsid w:val="002C0369"/>
    <w:rsid w:val="002C20D5"/>
    <w:rsid w:val="002C38E2"/>
    <w:rsid w:val="002C3FB7"/>
    <w:rsid w:val="002C51F8"/>
    <w:rsid w:val="002C569D"/>
    <w:rsid w:val="002D0565"/>
    <w:rsid w:val="002D1629"/>
    <w:rsid w:val="002D1B26"/>
    <w:rsid w:val="002D2802"/>
    <w:rsid w:val="002D35E5"/>
    <w:rsid w:val="002D4AC8"/>
    <w:rsid w:val="002D6777"/>
    <w:rsid w:val="002D7C9F"/>
    <w:rsid w:val="002E02BD"/>
    <w:rsid w:val="002F1412"/>
    <w:rsid w:val="002F22A7"/>
    <w:rsid w:val="002F2C02"/>
    <w:rsid w:val="002F323E"/>
    <w:rsid w:val="002F3741"/>
    <w:rsid w:val="002F70CC"/>
    <w:rsid w:val="002F73A5"/>
    <w:rsid w:val="00300932"/>
    <w:rsid w:val="003010CE"/>
    <w:rsid w:val="003054D0"/>
    <w:rsid w:val="0030563F"/>
    <w:rsid w:val="00305E4E"/>
    <w:rsid w:val="00307743"/>
    <w:rsid w:val="003131B8"/>
    <w:rsid w:val="00315E4D"/>
    <w:rsid w:val="00321146"/>
    <w:rsid w:val="00326A63"/>
    <w:rsid w:val="00330FAF"/>
    <w:rsid w:val="003326BC"/>
    <w:rsid w:val="00333FD2"/>
    <w:rsid w:val="003357E6"/>
    <w:rsid w:val="00337069"/>
    <w:rsid w:val="00340057"/>
    <w:rsid w:val="003415EF"/>
    <w:rsid w:val="00341E54"/>
    <w:rsid w:val="00342E40"/>
    <w:rsid w:val="00344352"/>
    <w:rsid w:val="00344670"/>
    <w:rsid w:val="0034543D"/>
    <w:rsid w:val="0034678D"/>
    <w:rsid w:val="00353D3C"/>
    <w:rsid w:val="00354DC7"/>
    <w:rsid w:val="00357755"/>
    <w:rsid w:val="00357D23"/>
    <w:rsid w:val="0036060C"/>
    <w:rsid w:val="00360A25"/>
    <w:rsid w:val="00360BD6"/>
    <w:rsid w:val="003636D6"/>
    <w:rsid w:val="00366023"/>
    <w:rsid w:val="00366489"/>
    <w:rsid w:val="003670BB"/>
    <w:rsid w:val="00370F72"/>
    <w:rsid w:val="003718DE"/>
    <w:rsid w:val="00372F23"/>
    <w:rsid w:val="0037316D"/>
    <w:rsid w:val="00377C14"/>
    <w:rsid w:val="00383A2D"/>
    <w:rsid w:val="00391BBF"/>
    <w:rsid w:val="00392084"/>
    <w:rsid w:val="003955DD"/>
    <w:rsid w:val="00395800"/>
    <w:rsid w:val="003968DA"/>
    <w:rsid w:val="00396FAD"/>
    <w:rsid w:val="003A04A3"/>
    <w:rsid w:val="003A1631"/>
    <w:rsid w:val="003A1B97"/>
    <w:rsid w:val="003A235D"/>
    <w:rsid w:val="003A29CB"/>
    <w:rsid w:val="003A3090"/>
    <w:rsid w:val="003A3162"/>
    <w:rsid w:val="003A35F7"/>
    <w:rsid w:val="003A5D76"/>
    <w:rsid w:val="003A6EB0"/>
    <w:rsid w:val="003B027A"/>
    <w:rsid w:val="003B0868"/>
    <w:rsid w:val="003B0CAC"/>
    <w:rsid w:val="003B2872"/>
    <w:rsid w:val="003B3A27"/>
    <w:rsid w:val="003B3C95"/>
    <w:rsid w:val="003B5302"/>
    <w:rsid w:val="003B57A5"/>
    <w:rsid w:val="003B5E5B"/>
    <w:rsid w:val="003B6358"/>
    <w:rsid w:val="003B641B"/>
    <w:rsid w:val="003C09A0"/>
    <w:rsid w:val="003C0CA3"/>
    <w:rsid w:val="003C257F"/>
    <w:rsid w:val="003C27DB"/>
    <w:rsid w:val="003C2836"/>
    <w:rsid w:val="003C43DF"/>
    <w:rsid w:val="003C6DA2"/>
    <w:rsid w:val="003C7DE4"/>
    <w:rsid w:val="003D0B26"/>
    <w:rsid w:val="003D5B43"/>
    <w:rsid w:val="003D5FF1"/>
    <w:rsid w:val="003E4477"/>
    <w:rsid w:val="003E44FE"/>
    <w:rsid w:val="003E5D7F"/>
    <w:rsid w:val="003F1E46"/>
    <w:rsid w:val="003F1E51"/>
    <w:rsid w:val="003F1EF2"/>
    <w:rsid w:val="003F7667"/>
    <w:rsid w:val="00402A01"/>
    <w:rsid w:val="004046AE"/>
    <w:rsid w:val="00405AD7"/>
    <w:rsid w:val="004060EF"/>
    <w:rsid w:val="00407F11"/>
    <w:rsid w:val="0041095E"/>
    <w:rsid w:val="00411737"/>
    <w:rsid w:val="004117FC"/>
    <w:rsid w:val="00414EFB"/>
    <w:rsid w:val="0041514E"/>
    <w:rsid w:val="004168B0"/>
    <w:rsid w:val="00416F51"/>
    <w:rsid w:val="00420598"/>
    <w:rsid w:val="0042216C"/>
    <w:rsid w:val="00426B65"/>
    <w:rsid w:val="0042766B"/>
    <w:rsid w:val="004307E9"/>
    <w:rsid w:val="0043199A"/>
    <w:rsid w:val="00432186"/>
    <w:rsid w:val="0043613B"/>
    <w:rsid w:val="00436E12"/>
    <w:rsid w:val="00436F2A"/>
    <w:rsid w:val="004412F1"/>
    <w:rsid w:val="0044313A"/>
    <w:rsid w:val="004440CB"/>
    <w:rsid w:val="00444622"/>
    <w:rsid w:val="00445417"/>
    <w:rsid w:val="004531BE"/>
    <w:rsid w:val="00453786"/>
    <w:rsid w:val="00455257"/>
    <w:rsid w:val="00460E91"/>
    <w:rsid w:val="00461D22"/>
    <w:rsid w:val="00464ED4"/>
    <w:rsid w:val="0046724D"/>
    <w:rsid w:val="0047014F"/>
    <w:rsid w:val="004704E1"/>
    <w:rsid w:val="00470887"/>
    <w:rsid w:val="00472230"/>
    <w:rsid w:val="00475CB2"/>
    <w:rsid w:val="00475DE2"/>
    <w:rsid w:val="00476E3F"/>
    <w:rsid w:val="004801EB"/>
    <w:rsid w:val="00480615"/>
    <w:rsid w:val="00482B16"/>
    <w:rsid w:val="004841D5"/>
    <w:rsid w:val="00486CCC"/>
    <w:rsid w:val="00487B48"/>
    <w:rsid w:val="00492AA6"/>
    <w:rsid w:val="00493FAB"/>
    <w:rsid w:val="00494410"/>
    <w:rsid w:val="004959A3"/>
    <w:rsid w:val="00496828"/>
    <w:rsid w:val="004969A9"/>
    <w:rsid w:val="00497809"/>
    <w:rsid w:val="004A04A5"/>
    <w:rsid w:val="004A67B4"/>
    <w:rsid w:val="004B19C4"/>
    <w:rsid w:val="004B2EDE"/>
    <w:rsid w:val="004B4D9F"/>
    <w:rsid w:val="004B71A0"/>
    <w:rsid w:val="004B7346"/>
    <w:rsid w:val="004B7AAA"/>
    <w:rsid w:val="004B7E8C"/>
    <w:rsid w:val="004C0EBC"/>
    <w:rsid w:val="004C2251"/>
    <w:rsid w:val="004C7560"/>
    <w:rsid w:val="004C78BB"/>
    <w:rsid w:val="004C7A81"/>
    <w:rsid w:val="004D009E"/>
    <w:rsid w:val="004D1C0D"/>
    <w:rsid w:val="004D7889"/>
    <w:rsid w:val="004E1174"/>
    <w:rsid w:val="004E1F83"/>
    <w:rsid w:val="004E2808"/>
    <w:rsid w:val="004E3014"/>
    <w:rsid w:val="004E6BB5"/>
    <w:rsid w:val="004E7269"/>
    <w:rsid w:val="004F0411"/>
    <w:rsid w:val="004F1A49"/>
    <w:rsid w:val="004F488B"/>
    <w:rsid w:val="004F55C0"/>
    <w:rsid w:val="004F5601"/>
    <w:rsid w:val="004F59A7"/>
    <w:rsid w:val="004F7C15"/>
    <w:rsid w:val="00502584"/>
    <w:rsid w:val="00502AD7"/>
    <w:rsid w:val="00503108"/>
    <w:rsid w:val="00503E39"/>
    <w:rsid w:val="00511640"/>
    <w:rsid w:val="005129DF"/>
    <w:rsid w:val="005134D4"/>
    <w:rsid w:val="005157E6"/>
    <w:rsid w:val="00515D50"/>
    <w:rsid w:val="00523741"/>
    <w:rsid w:val="0052740C"/>
    <w:rsid w:val="00536B5B"/>
    <w:rsid w:val="0053702D"/>
    <w:rsid w:val="005370B8"/>
    <w:rsid w:val="005430BE"/>
    <w:rsid w:val="005447D7"/>
    <w:rsid w:val="00546038"/>
    <w:rsid w:val="00550ABB"/>
    <w:rsid w:val="00551509"/>
    <w:rsid w:val="00551999"/>
    <w:rsid w:val="00555A8F"/>
    <w:rsid w:val="00555AF8"/>
    <w:rsid w:val="00557942"/>
    <w:rsid w:val="00561E4B"/>
    <w:rsid w:val="0056264C"/>
    <w:rsid w:val="00562F2F"/>
    <w:rsid w:val="00570788"/>
    <w:rsid w:val="0057108C"/>
    <w:rsid w:val="005722DF"/>
    <w:rsid w:val="005731C0"/>
    <w:rsid w:val="00576EE3"/>
    <w:rsid w:val="00577DC5"/>
    <w:rsid w:val="00580E2D"/>
    <w:rsid w:val="00582DBC"/>
    <w:rsid w:val="00583DCB"/>
    <w:rsid w:val="005875B8"/>
    <w:rsid w:val="0059022D"/>
    <w:rsid w:val="0059172B"/>
    <w:rsid w:val="00591B4B"/>
    <w:rsid w:val="00592260"/>
    <w:rsid w:val="00596593"/>
    <w:rsid w:val="00597B77"/>
    <w:rsid w:val="005A1603"/>
    <w:rsid w:val="005A16E7"/>
    <w:rsid w:val="005A24EB"/>
    <w:rsid w:val="005A2735"/>
    <w:rsid w:val="005A33EB"/>
    <w:rsid w:val="005A56D2"/>
    <w:rsid w:val="005A6126"/>
    <w:rsid w:val="005B0143"/>
    <w:rsid w:val="005B081F"/>
    <w:rsid w:val="005B0F8B"/>
    <w:rsid w:val="005B1396"/>
    <w:rsid w:val="005B3218"/>
    <w:rsid w:val="005B7C31"/>
    <w:rsid w:val="005C2355"/>
    <w:rsid w:val="005C41F6"/>
    <w:rsid w:val="005C4686"/>
    <w:rsid w:val="005C46FF"/>
    <w:rsid w:val="005C58F6"/>
    <w:rsid w:val="005D19AE"/>
    <w:rsid w:val="005D393D"/>
    <w:rsid w:val="005D5673"/>
    <w:rsid w:val="005D5C33"/>
    <w:rsid w:val="005D69DF"/>
    <w:rsid w:val="005E770D"/>
    <w:rsid w:val="005F095A"/>
    <w:rsid w:val="005F1FA6"/>
    <w:rsid w:val="005F5980"/>
    <w:rsid w:val="005F624A"/>
    <w:rsid w:val="005F6F15"/>
    <w:rsid w:val="005F7353"/>
    <w:rsid w:val="006042AF"/>
    <w:rsid w:val="00604D09"/>
    <w:rsid w:val="006110C8"/>
    <w:rsid w:val="006121C8"/>
    <w:rsid w:val="0061351D"/>
    <w:rsid w:val="0061467D"/>
    <w:rsid w:val="00615EB8"/>
    <w:rsid w:val="00622389"/>
    <w:rsid w:val="00622962"/>
    <w:rsid w:val="00625162"/>
    <w:rsid w:val="006260DD"/>
    <w:rsid w:val="006269F0"/>
    <w:rsid w:val="00627348"/>
    <w:rsid w:val="0063172B"/>
    <w:rsid w:val="00632282"/>
    <w:rsid w:val="006352C1"/>
    <w:rsid w:val="00640374"/>
    <w:rsid w:val="0064096E"/>
    <w:rsid w:val="0064119C"/>
    <w:rsid w:val="00641ECD"/>
    <w:rsid w:val="00643702"/>
    <w:rsid w:val="00643ACE"/>
    <w:rsid w:val="00645B05"/>
    <w:rsid w:val="0064766A"/>
    <w:rsid w:val="006476F7"/>
    <w:rsid w:val="00647EFE"/>
    <w:rsid w:val="006525B9"/>
    <w:rsid w:val="00654A03"/>
    <w:rsid w:val="006560E6"/>
    <w:rsid w:val="00657095"/>
    <w:rsid w:val="00657334"/>
    <w:rsid w:val="00657938"/>
    <w:rsid w:val="00661C7C"/>
    <w:rsid w:val="00664F4E"/>
    <w:rsid w:val="00665C62"/>
    <w:rsid w:val="00673C86"/>
    <w:rsid w:val="00674949"/>
    <w:rsid w:val="006758B9"/>
    <w:rsid w:val="0067722A"/>
    <w:rsid w:val="0068040C"/>
    <w:rsid w:val="006810EC"/>
    <w:rsid w:val="00681C3F"/>
    <w:rsid w:val="0068319A"/>
    <w:rsid w:val="006838CF"/>
    <w:rsid w:val="0068425B"/>
    <w:rsid w:val="0068635E"/>
    <w:rsid w:val="0068672E"/>
    <w:rsid w:val="0068782B"/>
    <w:rsid w:val="00692870"/>
    <w:rsid w:val="0069301E"/>
    <w:rsid w:val="006A0A32"/>
    <w:rsid w:val="006A1C7E"/>
    <w:rsid w:val="006B491A"/>
    <w:rsid w:val="006B5927"/>
    <w:rsid w:val="006B599D"/>
    <w:rsid w:val="006C36D8"/>
    <w:rsid w:val="006C6BB2"/>
    <w:rsid w:val="006D7D8D"/>
    <w:rsid w:val="006E3019"/>
    <w:rsid w:val="006E552C"/>
    <w:rsid w:val="006F01C4"/>
    <w:rsid w:val="006F14F6"/>
    <w:rsid w:val="006F182F"/>
    <w:rsid w:val="006F40A5"/>
    <w:rsid w:val="006F6C42"/>
    <w:rsid w:val="006F6F03"/>
    <w:rsid w:val="007004DE"/>
    <w:rsid w:val="007004F7"/>
    <w:rsid w:val="007008F6"/>
    <w:rsid w:val="00703989"/>
    <w:rsid w:val="00710001"/>
    <w:rsid w:val="00710AA2"/>
    <w:rsid w:val="00712C7F"/>
    <w:rsid w:val="007136D7"/>
    <w:rsid w:val="00716DD5"/>
    <w:rsid w:val="00717682"/>
    <w:rsid w:val="007176C5"/>
    <w:rsid w:val="00717BE5"/>
    <w:rsid w:val="007213B4"/>
    <w:rsid w:val="007222A7"/>
    <w:rsid w:val="00724292"/>
    <w:rsid w:val="0072536A"/>
    <w:rsid w:val="007308D3"/>
    <w:rsid w:val="00731788"/>
    <w:rsid w:val="007321C0"/>
    <w:rsid w:val="00733040"/>
    <w:rsid w:val="00736D0B"/>
    <w:rsid w:val="00745017"/>
    <w:rsid w:val="0074530E"/>
    <w:rsid w:val="00746CDD"/>
    <w:rsid w:val="00750930"/>
    <w:rsid w:val="00752943"/>
    <w:rsid w:val="00754373"/>
    <w:rsid w:val="00761918"/>
    <w:rsid w:val="00770BF9"/>
    <w:rsid w:val="007720F8"/>
    <w:rsid w:val="00775493"/>
    <w:rsid w:val="0077565B"/>
    <w:rsid w:val="00780723"/>
    <w:rsid w:val="00780A03"/>
    <w:rsid w:val="00782885"/>
    <w:rsid w:val="00783421"/>
    <w:rsid w:val="00783709"/>
    <w:rsid w:val="00785CB3"/>
    <w:rsid w:val="00785EFB"/>
    <w:rsid w:val="00786626"/>
    <w:rsid w:val="00791A3A"/>
    <w:rsid w:val="00792B6C"/>
    <w:rsid w:val="0079383A"/>
    <w:rsid w:val="007941CB"/>
    <w:rsid w:val="007A100C"/>
    <w:rsid w:val="007A1063"/>
    <w:rsid w:val="007A2D02"/>
    <w:rsid w:val="007A3587"/>
    <w:rsid w:val="007A4C8F"/>
    <w:rsid w:val="007A7A72"/>
    <w:rsid w:val="007B0478"/>
    <w:rsid w:val="007B2D38"/>
    <w:rsid w:val="007B4F6C"/>
    <w:rsid w:val="007B55D7"/>
    <w:rsid w:val="007B637A"/>
    <w:rsid w:val="007C0B2B"/>
    <w:rsid w:val="007C24BC"/>
    <w:rsid w:val="007C650E"/>
    <w:rsid w:val="007D4EC2"/>
    <w:rsid w:val="007D576B"/>
    <w:rsid w:val="007D7267"/>
    <w:rsid w:val="007D75B0"/>
    <w:rsid w:val="007D7B25"/>
    <w:rsid w:val="007E4E29"/>
    <w:rsid w:val="007F70AD"/>
    <w:rsid w:val="007F717D"/>
    <w:rsid w:val="007F7D23"/>
    <w:rsid w:val="00800012"/>
    <w:rsid w:val="00801F75"/>
    <w:rsid w:val="00802CEF"/>
    <w:rsid w:val="0080348D"/>
    <w:rsid w:val="008066F6"/>
    <w:rsid w:val="00806AFD"/>
    <w:rsid w:val="008121CD"/>
    <w:rsid w:val="00820A68"/>
    <w:rsid w:val="00820EE1"/>
    <w:rsid w:val="00823396"/>
    <w:rsid w:val="008250DE"/>
    <w:rsid w:val="00825B36"/>
    <w:rsid w:val="00825BC8"/>
    <w:rsid w:val="00826899"/>
    <w:rsid w:val="008324A5"/>
    <w:rsid w:val="00833101"/>
    <w:rsid w:val="00840288"/>
    <w:rsid w:val="008426AB"/>
    <w:rsid w:val="00842DA9"/>
    <w:rsid w:val="008433C7"/>
    <w:rsid w:val="00843BB4"/>
    <w:rsid w:val="00844381"/>
    <w:rsid w:val="008525B7"/>
    <w:rsid w:val="0085261E"/>
    <w:rsid w:val="0085452A"/>
    <w:rsid w:val="00854A24"/>
    <w:rsid w:val="008556EA"/>
    <w:rsid w:val="0085579D"/>
    <w:rsid w:val="00861FD1"/>
    <w:rsid w:val="00864D81"/>
    <w:rsid w:val="0086530C"/>
    <w:rsid w:val="008653BC"/>
    <w:rsid w:val="0086579F"/>
    <w:rsid w:val="008716E7"/>
    <w:rsid w:val="008729F6"/>
    <w:rsid w:val="00872DBE"/>
    <w:rsid w:val="0087523A"/>
    <w:rsid w:val="00876EBB"/>
    <w:rsid w:val="00877914"/>
    <w:rsid w:val="00877B8A"/>
    <w:rsid w:val="00880988"/>
    <w:rsid w:val="00881499"/>
    <w:rsid w:val="00882FE8"/>
    <w:rsid w:val="00883EE1"/>
    <w:rsid w:val="00884C64"/>
    <w:rsid w:val="0088590C"/>
    <w:rsid w:val="00885BDF"/>
    <w:rsid w:val="008914B1"/>
    <w:rsid w:val="00893B97"/>
    <w:rsid w:val="008944A7"/>
    <w:rsid w:val="008A12D4"/>
    <w:rsid w:val="008A242E"/>
    <w:rsid w:val="008A466C"/>
    <w:rsid w:val="008A472F"/>
    <w:rsid w:val="008A73C3"/>
    <w:rsid w:val="008A788C"/>
    <w:rsid w:val="008B1B6C"/>
    <w:rsid w:val="008B68EF"/>
    <w:rsid w:val="008B7F9A"/>
    <w:rsid w:val="008C1E79"/>
    <w:rsid w:val="008C2026"/>
    <w:rsid w:val="008C3A9D"/>
    <w:rsid w:val="008C3C2B"/>
    <w:rsid w:val="008C4A88"/>
    <w:rsid w:val="008D5697"/>
    <w:rsid w:val="008D5E3A"/>
    <w:rsid w:val="008E0D98"/>
    <w:rsid w:val="008E177F"/>
    <w:rsid w:val="008E3E14"/>
    <w:rsid w:val="008E5219"/>
    <w:rsid w:val="008E5DAD"/>
    <w:rsid w:val="008F0B3D"/>
    <w:rsid w:val="008F4C7B"/>
    <w:rsid w:val="008F4CA0"/>
    <w:rsid w:val="008F51AA"/>
    <w:rsid w:val="008F6290"/>
    <w:rsid w:val="00901E82"/>
    <w:rsid w:val="0090372B"/>
    <w:rsid w:val="00907196"/>
    <w:rsid w:val="00907C97"/>
    <w:rsid w:val="0092093E"/>
    <w:rsid w:val="00923198"/>
    <w:rsid w:val="00923726"/>
    <w:rsid w:val="0092379B"/>
    <w:rsid w:val="009252FE"/>
    <w:rsid w:val="00925542"/>
    <w:rsid w:val="009258AD"/>
    <w:rsid w:val="00925C6A"/>
    <w:rsid w:val="0093230E"/>
    <w:rsid w:val="00933DDD"/>
    <w:rsid w:val="00936A8B"/>
    <w:rsid w:val="00936FB9"/>
    <w:rsid w:val="00937EC7"/>
    <w:rsid w:val="00937FAA"/>
    <w:rsid w:val="009442BD"/>
    <w:rsid w:val="00944448"/>
    <w:rsid w:val="009449AC"/>
    <w:rsid w:val="00955ABD"/>
    <w:rsid w:val="00957408"/>
    <w:rsid w:val="00960A46"/>
    <w:rsid w:val="009617B1"/>
    <w:rsid w:val="00962DC1"/>
    <w:rsid w:val="00962DE3"/>
    <w:rsid w:val="00962E51"/>
    <w:rsid w:val="00964028"/>
    <w:rsid w:val="00967089"/>
    <w:rsid w:val="0096776D"/>
    <w:rsid w:val="009710F3"/>
    <w:rsid w:val="0097214D"/>
    <w:rsid w:val="0097335D"/>
    <w:rsid w:val="0097342E"/>
    <w:rsid w:val="00974397"/>
    <w:rsid w:val="0097481B"/>
    <w:rsid w:val="00977911"/>
    <w:rsid w:val="00980072"/>
    <w:rsid w:val="0098323C"/>
    <w:rsid w:val="0098429F"/>
    <w:rsid w:val="00987393"/>
    <w:rsid w:val="00990DB1"/>
    <w:rsid w:val="009914EA"/>
    <w:rsid w:val="00991537"/>
    <w:rsid w:val="00995008"/>
    <w:rsid w:val="00995203"/>
    <w:rsid w:val="00995DBA"/>
    <w:rsid w:val="00997796"/>
    <w:rsid w:val="009A3607"/>
    <w:rsid w:val="009A7898"/>
    <w:rsid w:val="009B067B"/>
    <w:rsid w:val="009B3A85"/>
    <w:rsid w:val="009B3C98"/>
    <w:rsid w:val="009B41A9"/>
    <w:rsid w:val="009B5128"/>
    <w:rsid w:val="009B51D2"/>
    <w:rsid w:val="009B5AB3"/>
    <w:rsid w:val="009B6987"/>
    <w:rsid w:val="009B6C33"/>
    <w:rsid w:val="009C165D"/>
    <w:rsid w:val="009C3219"/>
    <w:rsid w:val="009C43F4"/>
    <w:rsid w:val="009C6446"/>
    <w:rsid w:val="009D053C"/>
    <w:rsid w:val="009D0990"/>
    <w:rsid w:val="009D14D1"/>
    <w:rsid w:val="009D31DE"/>
    <w:rsid w:val="009D4E5B"/>
    <w:rsid w:val="009E07DB"/>
    <w:rsid w:val="009E1EE3"/>
    <w:rsid w:val="009E428E"/>
    <w:rsid w:val="009E5AA5"/>
    <w:rsid w:val="009E5FCE"/>
    <w:rsid w:val="009E6AA6"/>
    <w:rsid w:val="009F17BE"/>
    <w:rsid w:val="009F4268"/>
    <w:rsid w:val="009F4DB4"/>
    <w:rsid w:val="00A037B2"/>
    <w:rsid w:val="00A0576C"/>
    <w:rsid w:val="00A10F52"/>
    <w:rsid w:val="00A11558"/>
    <w:rsid w:val="00A12786"/>
    <w:rsid w:val="00A12BB1"/>
    <w:rsid w:val="00A13A5A"/>
    <w:rsid w:val="00A15787"/>
    <w:rsid w:val="00A17A80"/>
    <w:rsid w:val="00A202B7"/>
    <w:rsid w:val="00A20413"/>
    <w:rsid w:val="00A21049"/>
    <w:rsid w:val="00A221C3"/>
    <w:rsid w:val="00A227E2"/>
    <w:rsid w:val="00A257F2"/>
    <w:rsid w:val="00A2692E"/>
    <w:rsid w:val="00A26B79"/>
    <w:rsid w:val="00A275C3"/>
    <w:rsid w:val="00A325F6"/>
    <w:rsid w:val="00A333DE"/>
    <w:rsid w:val="00A343A2"/>
    <w:rsid w:val="00A36800"/>
    <w:rsid w:val="00A37DBE"/>
    <w:rsid w:val="00A40CC9"/>
    <w:rsid w:val="00A41339"/>
    <w:rsid w:val="00A469A7"/>
    <w:rsid w:val="00A46A81"/>
    <w:rsid w:val="00A4724C"/>
    <w:rsid w:val="00A52B3D"/>
    <w:rsid w:val="00A54F2F"/>
    <w:rsid w:val="00A60B0A"/>
    <w:rsid w:val="00A61842"/>
    <w:rsid w:val="00A636EC"/>
    <w:rsid w:val="00A72859"/>
    <w:rsid w:val="00A74385"/>
    <w:rsid w:val="00A760F3"/>
    <w:rsid w:val="00A77806"/>
    <w:rsid w:val="00A80D9F"/>
    <w:rsid w:val="00A810AF"/>
    <w:rsid w:val="00A81C34"/>
    <w:rsid w:val="00A853DF"/>
    <w:rsid w:val="00A868E0"/>
    <w:rsid w:val="00A91BCB"/>
    <w:rsid w:val="00A91FA0"/>
    <w:rsid w:val="00A924CA"/>
    <w:rsid w:val="00A95790"/>
    <w:rsid w:val="00A95F68"/>
    <w:rsid w:val="00AA028B"/>
    <w:rsid w:val="00AA0590"/>
    <w:rsid w:val="00AA2F6B"/>
    <w:rsid w:val="00AA3C8F"/>
    <w:rsid w:val="00AA61E4"/>
    <w:rsid w:val="00AB0E13"/>
    <w:rsid w:val="00AB1574"/>
    <w:rsid w:val="00AB293C"/>
    <w:rsid w:val="00AC5889"/>
    <w:rsid w:val="00AD0BF4"/>
    <w:rsid w:val="00AE01AB"/>
    <w:rsid w:val="00AE158E"/>
    <w:rsid w:val="00AE2BB7"/>
    <w:rsid w:val="00AE3CD9"/>
    <w:rsid w:val="00AE49A6"/>
    <w:rsid w:val="00AE5027"/>
    <w:rsid w:val="00AE53FB"/>
    <w:rsid w:val="00AE6D1D"/>
    <w:rsid w:val="00AE7B2A"/>
    <w:rsid w:val="00AF4310"/>
    <w:rsid w:val="00AF6209"/>
    <w:rsid w:val="00AF7E24"/>
    <w:rsid w:val="00B04B87"/>
    <w:rsid w:val="00B05D21"/>
    <w:rsid w:val="00B073FB"/>
    <w:rsid w:val="00B07B66"/>
    <w:rsid w:val="00B1119F"/>
    <w:rsid w:val="00B117C8"/>
    <w:rsid w:val="00B12744"/>
    <w:rsid w:val="00B12ED7"/>
    <w:rsid w:val="00B21D2E"/>
    <w:rsid w:val="00B22067"/>
    <w:rsid w:val="00B231F2"/>
    <w:rsid w:val="00B24B8B"/>
    <w:rsid w:val="00B25F48"/>
    <w:rsid w:val="00B26487"/>
    <w:rsid w:val="00B265BA"/>
    <w:rsid w:val="00B31738"/>
    <w:rsid w:val="00B322A8"/>
    <w:rsid w:val="00B329BC"/>
    <w:rsid w:val="00B36946"/>
    <w:rsid w:val="00B36BAE"/>
    <w:rsid w:val="00B43931"/>
    <w:rsid w:val="00B44109"/>
    <w:rsid w:val="00B45612"/>
    <w:rsid w:val="00B513B1"/>
    <w:rsid w:val="00B518CF"/>
    <w:rsid w:val="00B57C91"/>
    <w:rsid w:val="00B57E81"/>
    <w:rsid w:val="00B60DD9"/>
    <w:rsid w:val="00B6121A"/>
    <w:rsid w:val="00B61ED4"/>
    <w:rsid w:val="00B6368E"/>
    <w:rsid w:val="00B65256"/>
    <w:rsid w:val="00B6781D"/>
    <w:rsid w:val="00B70E82"/>
    <w:rsid w:val="00B70F38"/>
    <w:rsid w:val="00B70F7A"/>
    <w:rsid w:val="00B71A87"/>
    <w:rsid w:val="00B72425"/>
    <w:rsid w:val="00B7476E"/>
    <w:rsid w:val="00B7556B"/>
    <w:rsid w:val="00B77D2E"/>
    <w:rsid w:val="00B80368"/>
    <w:rsid w:val="00B83CD8"/>
    <w:rsid w:val="00B857E1"/>
    <w:rsid w:val="00B86253"/>
    <w:rsid w:val="00B86B6A"/>
    <w:rsid w:val="00B86FB0"/>
    <w:rsid w:val="00B8747D"/>
    <w:rsid w:val="00B904F7"/>
    <w:rsid w:val="00B91571"/>
    <w:rsid w:val="00B94226"/>
    <w:rsid w:val="00B9685E"/>
    <w:rsid w:val="00BA2ACE"/>
    <w:rsid w:val="00BA4373"/>
    <w:rsid w:val="00BA56B8"/>
    <w:rsid w:val="00BB0EC9"/>
    <w:rsid w:val="00BB1AE5"/>
    <w:rsid w:val="00BB32FF"/>
    <w:rsid w:val="00BB4D31"/>
    <w:rsid w:val="00BB5099"/>
    <w:rsid w:val="00BB59F1"/>
    <w:rsid w:val="00BB77AB"/>
    <w:rsid w:val="00BC2D8C"/>
    <w:rsid w:val="00BC3902"/>
    <w:rsid w:val="00BC5FEF"/>
    <w:rsid w:val="00BD2690"/>
    <w:rsid w:val="00BD2D08"/>
    <w:rsid w:val="00BD545D"/>
    <w:rsid w:val="00BD7315"/>
    <w:rsid w:val="00BD753C"/>
    <w:rsid w:val="00BD7BFE"/>
    <w:rsid w:val="00BE0F1A"/>
    <w:rsid w:val="00BE2F82"/>
    <w:rsid w:val="00BE3884"/>
    <w:rsid w:val="00BE47BD"/>
    <w:rsid w:val="00BE6F6E"/>
    <w:rsid w:val="00BF14F2"/>
    <w:rsid w:val="00BF307C"/>
    <w:rsid w:val="00C015E5"/>
    <w:rsid w:val="00C03B36"/>
    <w:rsid w:val="00C03BA0"/>
    <w:rsid w:val="00C03C50"/>
    <w:rsid w:val="00C10422"/>
    <w:rsid w:val="00C10652"/>
    <w:rsid w:val="00C1780F"/>
    <w:rsid w:val="00C20AFE"/>
    <w:rsid w:val="00C21A64"/>
    <w:rsid w:val="00C22B15"/>
    <w:rsid w:val="00C24100"/>
    <w:rsid w:val="00C2441A"/>
    <w:rsid w:val="00C256A5"/>
    <w:rsid w:val="00C262EE"/>
    <w:rsid w:val="00C26694"/>
    <w:rsid w:val="00C31980"/>
    <w:rsid w:val="00C328A8"/>
    <w:rsid w:val="00C32E26"/>
    <w:rsid w:val="00C32E7D"/>
    <w:rsid w:val="00C341F9"/>
    <w:rsid w:val="00C34BD8"/>
    <w:rsid w:val="00C35F33"/>
    <w:rsid w:val="00C36B83"/>
    <w:rsid w:val="00C423AB"/>
    <w:rsid w:val="00C448EC"/>
    <w:rsid w:val="00C47CD6"/>
    <w:rsid w:val="00C52C32"/>
    <w:rsid w:val="00C53B63"/>
    <w:rsid w:val="00C54030"/>
    <w:rsid w:val="00C575A4"/>
    <w:rsid w:val="00C63EE3"/>
    <w:rsid w:val="00C66B38"/>
    <w:rsid w:val="00C678E4"/>
    <w:rsid w:val="00C72448"/>
    <w:rsid w:val="00C7518B"/>
    <w:rsid w:val="00C75CBC"/>
    <w:rsid w:val="00C8255A"/>
    <w:rsid w:val="00C85396"/>
    <w:rsid w:val="00C855E5"/>
    <w:rsid w:val="00C865B8"/>
    <w:rsid w:val="00C87404"/>
    <w:rsid w:val="00C90699"/>
    <w:rsid w:val="00C935B8"/>
    <w:rsid w:val="00C9515E"/>
    <w:rsid w:val="00C96F4D"/>
    <w:rsid w:val="00C97DCF"/>
    <w:rsid w:val="00CA5570"/>
    <w:rsid w:val="00CA687F"/>
    <w:rsid w:val="00CA7C0D"/>
    <w:rsid w:val="00CB08DE"/>
    <w:rsid w:val="00CB103D"/>
    <w:rsid w:val="00CB1C7C"/>
    <w:rsid w:val="00CB2314"/>
    <w:rsid w:val="00CB25EA"/>
    <w:rsid w:val="00CC00EE"/>
    <w:rsid w:val="00CC163E"/>
    <w:rsid w:val="00CC555E"/>
    <w:rsid w:val="00CC5791"/>
    <w:rsid w:val="00CD10DE"/>
    <w:rsid w:val="00CD4B4D"/>
    <w:rsid w:val="00CD4DF4"/>
    <w:rsid w:val="00CE335A"/>
    <w:rsid w:val="00CE5FCE"/>
    <w:rsid w:val="00CE6418"/>
    <w:rsid w:val="00CE7958"/>
    <w:rsid w:val="00CF007A"/>
    <w:rsid w:val="00CF0925"/>
    <w:rsid w:val="00CF0B9C"/>
    <w:rsid w:val="00CF0FC7"/>
    <w:rsid w:val="00CF1669"/>
    <w:rsid w:val="00CF3AEC"/>
    <w:rsid w:val="00CF5B9C"/>
    <w:rsid w:val="00CF6A0A"/>
    <w:rsid w:val="00CF72A0"/>
    <w:rsid w:val="00CF77E4"/>
    <w:rsid w:val="00D01409"/>
    <w:rsid w:val="00D016EC"/>
    <w:rsid w:val="00D01994"/>
    <w:rsid w:val="00D03951"/>
    <w:rsid w:val="00D072AC"/>
    <w:rsid w:val="00D10316"/>
    <w:rsid w:val="00D12074"/>
    <w:rsid w:val="00D131E6"/>
    <w:rsid w:val="00D1407C"/>
    <w:rsid w:val="00D215E2"/>
    <w:rsid w:val="00D21B7D"/>
    <w:rsid w:val="00D222BC"/>
    <w:rsid w:val="00D24821"/>
    <w:rsid w:val="00D26772"/>
    <w:rsid w:val="00D31A83"/>
    <w:rsid w:val="00D31B04"/>
    <w:rsid w:val="00D3313C"/>
    <w:rsid w:val="00D33CC0"/>
    <w:rsid w:val="00D341DF"/>
    <w:rsid w:val="00D40E3C"/>
    <w:rsid w:val="00D44D8D"/>
    <w:rsid w:val="00D44E6B"/>
    <w:rsid w:val="00D45DEB"/>
    <w:rsid w:val="00D45DF5"/>
    <w:rsid w:val="00D50819"/>
    <w:rsid w:val="00D51491"/>
    <w:rsid w:val="00D51AEE"/>
    <w:rsid w:val="00D52473"/>
    <w:rsid w:val="00D53D0A"/>
    <w:rsid w:val="00D5595B"/>
    <w:rsid w:val="00D61B12"/>
    <w:rsid w:val="00D62625"/>
    <w:rsid w:val="00D62D2E"/>
    <w:rsid w:val="00D65366"/>
    <w:rsid w:val="00D66F04"/>
    <w:rsid w:val="00D6763F"/>
    <w:rsid w:val="00D70CDE"/>
    <w:rsid w:val="00D7293A"/>
    <w:rsid w:val="00D72AF2"/>
    <w:rsid w:val="00D74E86"/>
    <w:rsid w:val="00D75E84"/>
    <w:rsid w:val="00D8156A"/>
    <w:rsid w:val="00D94A8B"/>
    <w:rsid w:val="00D95174"/>
    <w:rsid w:val="00DA0428"/>
    <w:rsid w:val="00DA5154"/>
    <w:rsid w:val="00DA5A06"/>
    <w:rsid w:val="00DA670C"/>
    <w:rsid w:val="00DA7484"/>
    <w:rsid w:val="00DA7958"/>
    <w:rsid w:val="00DB1306"/>
    <w:rsid w:val="00DB1A5A"/>
    <w:rsid w:val="00DB45D7"/>
    <w:rsid w:val="00DB61A2"/>
    <w:rsid w:val="00DB6691"/>
    <w:rsid w:val="00DC0BD5"/>
    <w:rsid w:val="00DC0EF9"/>
    <w:rsid w:val="00DC214B"/>
    <w:rsid w:val="00DC3427"/>
    <w:rsid w:val="00DC5965"/>
    <w:rsid w:val="00DC6C3F"/>
    <w:rsid w:val="00DC7084"/>
    <w:rsid w:val="00DD3022"/>
    <w:rsid w:val="00DD3AC8"/>
    <w:rsid w:val="00DD57C9"/>
    <w:rsid w:val="00DE1D23"/>
    <w:rsid w:val="00DE265F"/>
    <w:rsid w:val="00DE3FAF"/>
    <w:rsid w:val="00DE7249"/>
    <w:rsid w:val="00DF53D7"/>
    <w:rsid w:val="00DF6D4E"/>
    <w:rsid w:val="00DF6D5B"/>
    <w:rsid w:val="00E01775"/>
    <w:rsid w:val="00E01D51"/>
    <w:rsid w:val="00E0302D"/>
    <w:rsid w:val="00E07B61"/>
    <w:rsid w:val="00E10BAE"/>
    <w:rsid w:val="00E11CAC"/>
    <w:rsid w:val="00E1331C"/>
    <w:rsid w:val="00E159D5"/>
    <w:rsid w:val="00E16134"/>
    <w:rsid w:val="00E2040F"/>
    <w:rsid w:val="00E20727"/>
    <w:rsid w:val="00E217A2"/>
    <w:rsid w:val="00E21EF1"/>
    <w:rsid w:val="00E224F1"/>
    <w:rsid w:val="00E22834"/>
    <w:rsid w:val="00E2470D"/>
    <w:rsid w:val="00E27E23"/>
    <w:rsid w:val="00E30054"/>
    <w:rsid w:val="00E35C2F"/>
    <w:rsid w:val="00E35FEA"/>
    <w:rsid w:val="00E404CB"/>
    <w:rsid w:val="00E40D4A"/>
    <w:rsid w:val="00E43449"/>
    <w:rsid w:val="00E450EF"/>
    <w:rsid w:val="00E53187"/>
    <w:rsid w:val="00E53C2A"/>
    <w:rsid w:val="00E5403C"/>
    <w:rsid w:val="00E54169"/>
    <w:rsid w:val="00E561CC"/>
    <w:rsid w:val="00E56532"/>
    <w:rsid w:val="00E62354"/>
    <w:rsid w:val="00E65BD1"/>
    <w:rsid w:val="00E70F25"/>
    <w:rsid w:val="00E73BA0"/>
    <w:rsid w:val="00E756D5"/>
    <w:rsid w:val="00E77542"/>
    <w:rsid w:val="00E77823"/>
    <w:rsid w:val="00E77A46"/>
    <w:rsid w:val="00E81C08"/>
    <w:rsid w:val="00E8578A"/>
    <w:rsid w:val="00E858D8"/>
    <w:rsid w:val="00E877F8"/>
    <w:rsid w:val="00E9314A"/>
    <w:rsid w:val="00E93186"/>
    <w:rsid w:val="00E931C8"/>
    <w:rsid w:val="00E93FCE"/>
    <w:rsid w:val="00E94778"/>
    <w:rsid w:val="00E962B7"/>
    <w:rsid w:val="00E97045"/>
    <w:rsid w:val="00E9744E"/>
    <w:rsid w:val="00EA10C4"/>
    <w:rsid w:val="00EA18AB"/>
    <w:rsid w:val="00EA4A03"/>
    <w:rsid w:val="00EA708E"/>
    <w:rsid w:val="00EA7D07"/>
    <w:rsid w:val="00EB0735"/>
    <w:rsid w:val="00EB0D13"/>
    <w:rsid w:val="00EB2701"/>
    <w:rsid w:val="00EC01DF"/>
    <w:rsid w:val="00EC0A21"/>
    <w:rsid w:val="00EC58B2"/>
    <w:rsid w:val="00EC5B06"/>
    <w:rsid w:val="00ED5BCB"/>
    <w:rsid w:val="00EE0234"/>
    <w:rsid w:val="00EE13E0"/>
    <w:rsid w:val="00EE3CC1"/>
    <w:rsid w:val="00EE493D"/>
    <w:rsid w:val="00EE5B10"/>
    <w:rsid w:val="00EE7F87"/>
    <w:rsid w:val="00EF3841"/>
    <w:rsid w:val="00F00BDF"/>
    <w:rsid w:val="00F00CD0"/>
    <w:rsid w:val="00F0179D"/>
    <w:rsid w:val="00F0654E"/>
    <w:rsid w:val="00F07472"/>
    <w:rsid w:val="00F07C96"/>
    <w:rsid w:val="00F1149F"/>
    <w:rsid w:val="00F1190F"/>
    <w:rsid w:val="00F11A8E"/>
    <w:rsid w:val="00F139DC"/>
    <w:rsid w:val="00F2220E"/>
    <w:rsid w:val="00F22D17"/>
    <w:rsid w:val="00F322A7"/>
    <w:rsid w:val="00F35642"/>
    <w:rsid w:val="00F3732B"/>
    <w:rsid w:val="00F4030B"/>
    <w:rsid w:val="00F42DFB"/>
    <w:rsid w:val="00F43719"/>
    <w:rsid w:val="00F468F6"/>
    <w:rsid w:val="00F507CD"/>
    <w:rsid w:val="00F51232"/>
    <w:rsid w:val="00F51343"/>
    <w:rsid w:val="00F5282A"/>
    <w:rsid w:val="00F55627"/>
    <w:rsid w:val="00F559F6"/>
    <w:rsid w:val="00F569FA"/>
    <w:rsid w:val="00F579A1"/>
    <w:rsid w:val="00F57A95"/>
    <w:rsid w:val="00F62443"/>
    <w:rsid w:val="00F62714"/>
    <w:rsid w:val="00F627FB"/>
    <w:rsid w:val="00F63B7C"/>
    <w:rsid w:val="00F641E2"/>
    <w:rsid w:val="00F65188"/>
    <w:rsid w:val="00F679A8"/>
    <w:rsid w:val="00F67D90"/>
    <w:rsid w:val="00F70E86"/>
    <w:rsid w:val="00F7121A"/>
    <w:rsid w:val="00F80314"/>
    <w:rsid w:val="00F804A4"/>
    <w:rsid w:val="00F8245D"/>
    <w:rsid w:val="00F87BFE"/>
    <w:rsid w:val="00F908DF"/>
    <w:rsid w:val="00F90E64"/>
    <w:rsid w:val="00F934C6"/>
    <w:rsid w:val="00F9402C"/>
    <w:rsid w:val="00F974DF"/>
    <w:rsid w:val="00FA0722"/>
    <w:rsid w:val="00FA1BF3"/>
    <w:rsid w:val="00FA41ED"/>
    <w:rsid w:val="00FB210F"/>
    <w:rsid w:val="00FB2132"/>
    <w:rsid w:val="00FB73A8"/>
    <w:rsid w:val="00FB7E7A"/>
    <w:rsid w:val="00FC06FC"/>
    <w:rsid w:val="00FC12C9"/>
    <w:rsid w:val="00FC2051"/>
    <w:rsid w:val="00FC3385"/>
    <w:rsid w:val="00FC502C"/>
    <w:rsid w:val="00FC614E"/>
    <w:rsid w:val="00FC67A1"/>
    <w:rsid w:val="00FD010D"/>
    <w:rsid w:val="00FD0D36"/>
    <w:rsid w:val="00FD33E9"/>
    <w:rsid w:val="00FD59E2"/>
    <w:rsid w:val="00FD615F"/>
    <w:rsid w:val="00FE0E0F"/>
    <w:rsid w:val="00FE2983"/>
    <w:rsid w:val="00FE302E"/>
    <w:rsid w:val="00FE32F5"/>
    <w:rsid w:val="00FE43FB"/>
    <w:rsid w:val="00FE4DE4"/>
    <w:rsid w:val="00FE4F1B"/>
    <w:rsid w:val="00FE5315"/>
    <w:rsid w:val="00FE5720"/>
    <w:rsid w:val="00FE685F"/>
    <w:rsid w:val="00FE6AEC"/>
    <w:rsid w:val="00FF0A81"/>
    <w:rsid w:val="00FF1491"/>
    <w:rsid w:val="00FF2971"/>
    <w:rsid w:val="00FF33F3"/>
    <w:rsid w:val="00FF4DD7"/>
    <w:rsid w:val="00FF6E84"/>
    <w:rsid w:val="00FF70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714BD"/>
  <w15:chartTrackingRefBased/>
  <w15:docId w15:val="{EA689C2D-061B-F744-9B35-DF2A6A47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unhideWhenUsed/>
    <w:qFormat/>
    <w:rsid w:val="00076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556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link w:val="Heading4Char"/>
    <w:uiPriority w:val="9"/>
    <w:qFormat/>
    <w:rsid w:val="000029E2"/>
    <w:pPr>
      <w:spacing w:before="100" w:beforeAutospacing="1" w:after="100" w:afterAutospacing="1"/>
      <w:outlineLvl w:val="3"/>
    </w:pPr>
    <w:rPr>
      <w:rFonts w:eastAsiaTheme="minorEastAsia"/>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tyle>
  <w:style w:type="paragraph" w:customStyle="1" w:styleId="Title2">
    <w:name w:val="Title2"/>
    <w:basedOn w:val="Normal"/>
    <w:next w:val="Normal"/>
    <w:pPr>
      <w:tabs>
        <w:tab w:val="left" w:pos="648"/>
        <w:tab w:val="right" w:pos="7776"/>
        <w:tab w:val="left" w:pos="784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FE43FB"/>
    <w:rPr>
      <w:rFonts w:ascii="Segoe UI" w:hAnsi="Segoe UI" w:cs="Segoe UI"/>
      <w:sz w:val="18"/>
      <w:szCs w:val="18"/>
    </w:rPr>
  </w:style>
  <w:style w:type="paragraph" w:customStyle="1" w:styleId="Firmas">
    <w:name w:val="Firmas"/>
    <w:basedOn w:val="Normal"/>
    <w:pPr>
      <w:tabs>
        <w:tab w:val="center" w:pos="1440"/>
        <w:tab w:val="center" w:pos="7200"/>
      </w:tabs>
    </w:pPr>
    <w:rPr>
      <w:lang w:val="es-ES_tradnl"/>
    </w:rPr>
  </w:style>
  <w:style w:type="character" w:customStyle="1" w:styleId="BalloonTextChar">
    <w:name w:val="Balloon Text Char"/>
    <w:link w:val="BalloonText"/>
    <w:uiPriority w:val="99"/>
    <w:semiHidden/>
    <w:rsid w:val="00FE43FB"/>
    <w:rPr>
      <w:rFonts w:ascii="Segoe UI" w:hAnsi="Segoe UI" w:cs="Segoe UI"/>
      <w:sz w:val="18"/>
      <w:szCs w:val="18"/>
    </w:rPr>
  </w:style>
  <w:style w:type="paragraph" w:styleId="FootnoteText">
    <w:name w:val="footnote text"/>
    <w:basedOn w:val="Normal"/>
    <w:link w:val="FootnoteTextChar"/>
    <w:uiPriority w:val="99"/>
    <w:semiHidden/>
    <w:unhideWhenUsed/>
    <w:rsid w:val="002206E3"/>
    <w:rPr>
      <w:rFonts w:ascii="Calibri" w:eastAsia="Calibri" w:hAnsi="Calibri"/>
      <w:sz w:val="20"/>
    </w:rPr>
  </w:style>
  <w:style w:type="character" w:customStyle="1" w:styleId="FootnoteTextChar">
    <w:name w:val="Footnote Text Char"/>
    <w:link w:val="FootnoteText"/>
    <w:uiPriority w:val="99"/>
    <w:semiHidden/>
    <w:rsid w:val="002206E3"/>
    <w:rPr>
      <w:rFonts w:ascii="Calibri" w:eastAsia="Calibri" w:hAnsi="Calibri"/>
      <w:lang w:val="en-US" w:eastAsia="en-US"/>
    </w:rPr>
  </w:style>
  <w:style w:type="character" w:styleId="FootnoteReference">
    <w:name w:val="footnote reference"/>
    <w:uiPriority w:val="99"/>
    <w:semiHidden/>
    <w:unhideWhenUsed/>
    <w:rsid w:val="002206E3"/>
    <w:rPr>
      <w:vertAlign w:val="superscript"/>
    </w:rPr>
  </w:style>
  <w:style w:type="character" w:styleId="Hyperlink">
    <w:name w:val="Hyperlink"/>
    <w:uiPriority w:val="99"/>
    <w:unhideWhenUsed/>
    <w:rsid w:val="002206E3"/>
    <w:rPr>
      <w:color w:val="0563C1"/>
      <w:u w:val="single"/>
    </w:rPr>
  </w:style>
  <w:style w:type="character" w:styleId="Mention">
    <w:name w:val="Mention"/>
    <w:uiPriority w:val="99"/>
    <w:semiHidden/>
    <w:unhideWhenUsed/>
    <w:rsid w:val="00167557"/>
    <w:rPr>
      <w:color w:val="2B579A"/>
      <w:shd w:val="clear" w:color="auto" w:fill="E6E6E6"/>
    </w:rPr>
  </w:style>
  <w:style w:type="paragraph" w:styleId="ListParagraph">
    <w:name w:val="List Paragraph"/>
    <w:basedOn w:val="Normal"/>
    <w:uiPriority w:val="34"/>
    <w:qFormat/>
    <w:rsid w:val="00C015E5"/>
    <w:pPr>
      <w:spacing w:after="160" w:line="259" w:lineRule="auto"/>
      <w:ind w:left="720"/>
      <w:contextualSpacing/>
    </w:pPr>
    <w:rPr>
      <w:rFonts w:ascii="Calibri" w:eastAsia="Calibri" w:hAnsi="Calibri"/>
      <w:sz w:val="22"/>
      <w:szCs w:val="22"/>
      <w:lang w:val="es-ES"/>
    </w:rPr>
  </w:style>
  <w:style w:type="paragraph" w:styleId="NormalWeb">
    <w:name w:val="Normal (Web)"/>
    <w:basedOn w:val="Normal"/>
    <w:uiPriority w:val="99"/>
    <w:unhideWhenUsed/>
    <w:rsid w:val="007D75B0"/>
    <w:rPr>
      <w:szCs w:val="24"/>
    </w:rPr>
  </w:style>
  <w:style w:type="character" w:styleId="Strong">
    <w:name w:val="Strong"/>
    <w:basedOn w:val="DefaultParagraphFont"/>
    <w:uiPriority w:val="22"/>
    <w:qFormat/>
    <w:rsid w:val="00C85396"/>
    <w:rPr>
      <w:b/>
      <w:bCs/>
    </w:rPr>
  </w:style>
  <w:style w:type="character" w:customStyle="1" w:styleId="Heading4Char">
    <w:name w:val="Heading 4 Char"/>
    <w:basedOn w:val="DefaultParagraphFont"/>
    <w:link w:val="Heading4"/>
    <w:uiPriority w:val="9"/>
    <w:rsid w:val="000029E2"/>
    <w:rPr>
      <w:rFonts w:eastAsiaTheme="minorEastAsia"/>
      <w:b/>
      <w:bCs/>
      <w:sz w:val="24"/>
      <w:szCs w:val="24"/>
    </w:rPr>
  </w:style>
  <w:style w:type="character" w:customStyle="1" w:styleId="Heading2Char">
    <w:name w:val="Heading 2 Char"/>
    <w:basedOn w:val="DefaultParagraphFont"/>
    <w:link w:val="Heading2"/>
    <w:uiPriority w:val="9"/>
    <w:semiHidden/>
    <w:rsid w:val="00076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56B"/>
    <w:rPr>
      <w:rFonts w:asciiTheme="minorHAnsi" w:eastAsiaTheme="majorEastAsia" w:hAnsiTheme="minorHAnsi" w:cstheme="majorBidi"/>
      <w:color w:val="0F4761" w:themeColor="accent1" w:themeShade="BF"/>
      <w:sz w:val="28"/>
      <w:szCs w:val="28"/>
    </w:rPr>
  </w:style>
  <w:style w:type="character" w:styleId="Emphasis">
    <w:name w:val="Emphasis"/>
    <w:basedOn w:val="DefaultParagraphFont"/>
    <w:uiPriority w:val="20"/>
    <w:qFormat/>
    <w:rsid w:val="00C256A5"/>
    <w:rPr>
      <w:i/>
      <w:iCs/>
    </w:rPr>
  </w:style>
  <w:style w:type="paragraph" w:styleId="z-TopofForm">
    <w:name w:val="HTML Top of Form"/>
    <w:basedOn w:val="Normal"/>
    <w:next w:val="Normal"/>
    <w:link w:val="z-TopofFormChar"/>
    <w:hidden/>
    <w:uiPriority w:val="99"/>
    <w:semiHidden/>
    <w:unhideWhenUsed/>
    <w:rsid w:val="00081C69"/>
    <w:pPr>
      <w:pBdr>
        <w:bottom w:val="single" w:sz="6" w:space="1" w:color="auto"/>
      </w:pBdr>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sid w:val="00081C69"/>
    <w:rPr>
      <w:rFonts w:ascii="Arial" w:eastAsiaTheme="minorEastAsia" w:hAnsi="Arial" w:cs="Arial"/>
      <w:vanish/>
      <w:sz w:val="16"/>
      <w:szCs w:val="16"/>
    </w:rPr>
  </w:style>
  <w:style w:type="paragraph" w:customStyle="1" w:styleId="placeholder">
    <w:name w:val="placeholder"/>
    <w:basedOn w:val="Normal"/>
    <w:rsid w:val="00081C69"/>
    <w:pPr>
      <w:spacing w:before="100" w:beforeAutospacing="1" w:after="100" w:afterAutospacing="1"/>
    </w:pPr>
    <w:rPr>
      <w:rFonts w:eastAsiaTheme="minorEastAsia"/>
      <w:szCs w:val="24"/>
    </w:rPr>
  </w:style>
  <w:style w:type="paragraph" w:styleId="z-BottomofForm">
    <w:name w:val="HTML Bottom of Form"/>
    <w:basedOn w:val="Normal"/>
    <w:next w:val="Normal"/>
    <w:link w:val="z-BottomofFormChar"/>
    <w:hidden/>
    <w:uiPriority w:val="99"/>
    <w:semiHidden/>
    <w:unhideWhenUsed/>
    <w:rsid w:val="00081C69"/>
    <w:pPr>
      <w:pBdr>
        <w:top w:val="single" w:sz="6" w:space="1" w:color="auto"/>
      </w:pBdr>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sid w:val="00081C69"/>
    <w:rPr>
      <w:rFonts w:ascii="Arial" w:eastAsiaTheme="minorEastAsia"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55828">
      <w:bodyDiv w:val="1"/>
      <w:marLeft w:val="0"/>
      <w:marRight w:val="0"/>
      <w:marTop w:val="0"/>
      <w:marBottom w:val="0"/>
      <w:divBdr>
        <w:top w:val="none" w:sz="0" w:space="0" w:color="auto"/>
        <w:left w:val="none" w:sz="0" w:space="0" w:color="auto"/>
        <w:bottom w:val="none" w:sz="0" w:space="0" w:color="auto"/>
        <w:right w:val="none" w:sz="0" w:space="0" w:color="auto"/>
      </w:divBdr>
    </w:div>
    <w:div w:id="180780481">
      <w:bodyDiv w:val="1"/>
      <w:marLeft w:val="0"/>
      <w:marRight w:val="0"/>
      <w:marTop w:val="0"/>
      <w:marBottom w:val="0"/>
      <w:divBdr>
        <w:top w:val="none" w:sz="0" w:space="0" w:color="auto"/>
        <w:left w:val="none" w:sz="0" w:space="0" w:color="auto"/>
        <w:bottom w:val="none" w:sz="0" w:space="0" w:color="auto"/>
        <w:right w:val="none" w:sz="0" w:space="0" w:color="auto"/>
      </w:divBdr>
    </w:div>
    <w:div w:id="237637635">
      <w:bodyDiv w:val="1"/>
      <w:marLeft w:val="0"/>
      <w:marRight w:val="0"/>
      <w:marTop w:val="0"/>
      <w:marBottom w:val="0"/>
      <w:divBdr>
        <w:top w:val="none" w:sz="0" w:space="0" w:color="auto"/>
        <w:left w:val="none" w:sz="0" w:space="0" w:color="auto"/>
        <w:bottom w:val="none" w:sz="0" w:space="0" w:color="auto"/>
        <w:right w:val="none" w:sz="0" w:space="0" w:color="auto"/>
      </w:divBdr>
    </w:div>
    <w:div w:id="423916917">
      <w:bodyDiv w:val="1"/>
      <w:marLeft w:val="0"/>
      <w:marRight w:val="0"/>
      <w:marTop w:val="0"/>
      <w:marBottom w:val="0"/>
      <w:divBdr>
        <w:top w:val="none" w:sz="0" w:space="0" w:color="auto"/>
        <w:left w:val="none" w:sz="0" w:space="0" w:color="auto"/>
        <w:bottom w:val="none" w:sz="0" w:space="0" w:color="auto"/>
        <w:right w:val="none" w:sz="0" w:space="0" w:color="auto"/>
      </w:divBdr>
    </w:div>
    <w:div w:id="492722486">
      <w:bodyDiv w:val="1"/>
      <w:marLeft w:val="0"/>
      <w:marRight w:val="0"/>
      <w:marTop w:val="0"/>
      <w:marBottom w:val="0"/>
      <w:divBdr>
        <w:top w:val="none" w:sz="0" w:space="0" w:color="auto"/>
        <w:left w:val="none" w:sz="0" w:space="0" w:color="auto"/>
        <w:bottom w:val="none" w:sz="0" w:space="0" w:color="auto"/>
        <w:right w:val="none" w:sz="0" w:space="0" w:color="auto"/>
      </w:divBdr>
    </w:div>
    <w:div w:id="554391639">
      <w:bodyDiv w:val="1"/>
      <w:marLeft w:val="0"/>
      <w:marRight w:val="0"/>
      <w:marTop w:val="0"/>
      <w:marBottom w:val="0"/>
      <w:divBdr>
        <w:top w:val="none" w:sz="0" w:space="0" w:color="auto"/>
        <w:left w:val="none" w:sz="0" w:space="0" w:color="auto"/>
        <w:bottom w:val="none" w:sz="0" w:space="0" w:color="auto"/>
        <w:right w:val="none" w:sz="0" w:space="0" w:color="auto"/>
      </w:divBdr>
    </w:div>
    <w:div w:id="623080993">
      <w:bodyDiv w:val="1"/>
      <w:marLeft w:val="0"/>
      <w:marRight w:val="0"/>
      <w:marTop w:val="0"/>
      <w:marBottom w:val="0"/>
      <w:divBdr>
        <w:top w:val="none" w:sz="0" w:space="0" w:color="auto"/>
        <w:left w:val="none" w:sz="0" w:space="0" w:color="auto"/>
        <w:bottom w:val="none" w:sz="0" w:space="0" w:color="auto"/>
        <w:right w:val="none" w:sz="0" w:space="0" w:color="auto"/>
      </w:divBdr>
      <w:divsChild>
        <w:div w:id="1817917974">
          <w:marLeft w:val="0"/>
          <w:marRight w:val="0"/>
          <w:marTop w:val="0"/>
          <w:marBottom w:val="0"/>
          <w:divBdr>
            <w:top w:val="none" w:sz="0" w:space="0" w:color="auto"/>
            <w:left w:val="none" w:sz="0" w:space="0" w:color="auto"/>
            <w:bottom w:val="none" w:sz="0" w:space="0" w:color="auto"/>
            <w:right w:val="none" w:sz="0" w:space="0" w:color="auto"/>
          </w:divBdr>
        </w:div>
        <w:div w:id="80875489">
          <w:marLeft w:val="0"/>
          <w:marRight w:val="0"/>
          <w:marTop w:val="0"/>
          <w:marBottom w:val="0"/>
          <w:divBdr>
            <w:top w:val="none" w:sz="0" w:space="0" w:color="auto"/>
            <w:left w:val="none" w:sz="0" w:space="0" w:color="auto"/>
            <w:bottom w:val="none" w:sz="0" w:space="0" w:color="auto"/>
            <w:right w:val="none" w:sz="0" w:space="0" w:color="auto"/>
          </w:divBdr>
        </w:div>
        <w:div w:id="1516722617">
          <w:marLeft w:val="0"/>
          <w:marRight w:val="0"/>
          <w:marTop w:val="0"/>
          <w:marBottom w:val="0"/>
          <w:divBdr>
            <w:top w:val="none" w:sz="0" w:space="0" w:color="auto"/>
            <w:left w:val="none" w:sz="0" w:space="0" w:color="auto"/>
            <w:bottom w:val="none" w:sz="0" w:space="0" w:color="auto"/>
            <w:right w:val="none" w:sz="0" w:space="0" w:color="auto"/>
          </w:divBdr>
        </w:div>
      </w:divsChild>
    </w:div>
    <w:div w:id="627127355">
      <w:bodyDiv w:val="1"/>
      <w:marLeft w:val="0"/>
      <w:marRight w:val="0"/>
      <w:marTop w:val="0"/>
      <w:marBottom w:val="0"/>
      <w:divBdr>
        <w:top w:val="none" w:sz="0" w:space="0" w:color="auto"/>
        <w:left w:val="none" w:sz="0" w:space="0" w:color="auto"/>
        <w:bottom w:val="none" w:sz="0" w:space="0" w:color="auto"/>
        <w:right w:val="none" w:sz="0" w:space="0" w:color="auto"/>
      </w:divBdr>
    </w:div>
    <w:div w:id="665939005">
      <w:bodyDiv w:val="1"/>
      <w:marLeft w:val="0"/>
      <w:marRight w:val="0"/>
      <w:marTop w:val="0"/>
      <w:marBottom w:val="0"/>
      <w:divBdr>
        <w:top w:val="none" w:sz="0" w:space="0" w:color="auto"/>
        <w:left w:val="none" w:sz="0" w:space="0" w:color="auto"/>
        <w:bottom w:val="none" w:sz="0" w:space="0" w:color="auto"/>
        <w:right w:val="none" w:sz="0" w:space="0" w:color="auto"/>
      </w:divBdr>
    </w:div>
    <w:div w:id="760030333">
      <w:bodyDiv w:val="1"/>
      <w:marLeft w:val="0"/>
      <w:marRight w:val="0"/>
      <w:marTop w:val="0"/>
      <w:marBottom w:val="0"/>
      <w:divBdr>
        <w:top w:val="none" w:sz="0" w:space="0" w:color="auto"/>
        <w:left w:val="none" w:sz="0" w:space="0" w:color="auto"/>
        <w:bottom w:val="none" w:sz="0" w:space="0" w:color="auto"/>
        <w:right w:val="none" w:sz="0" w:space="0" w:color="auto"/>
      </w:divBdr>
      <w:divsChild>
        <w:div w:id="1018504044">
          <w:marLeft w:val="0"/>
          <w:marRight w:val="0"/>
          <w:marTop w:val="0"/>
          <w:marBottom w:val="0"/>
          <w:divBdr>
            <w:top w:val="none" w:sz="0" w:space="0" w:color="auto"/>
            <w:left w:val="none" w:sz="0" w:space="0" w:color="auto"/>
            <w:bottom w:val="none" w:sz="0" w:space="0" w:color="auto"/>
            <w:right w:val="none" w:sz="0" w:space="0" w:color="auto"/>
          </w:divBdr>
        </w:div>
        <w:div w:id="875584030">
          <w:marLeft w:val="0"/>
          <w:marRight w:val="0"/>
          <w:marTop w:val="0"/>
          <w:marBottom w:val="0"/>
          <w:divBdr>
            <w:top w:val="none" w:sz="0" w:space="0" w:color="auto"/>
            <w:left w:val="none" w:sz="0" w:space="0" w:color="auto"/>
            <w:bottom w:val="none" w:sz="0" w:space="0" w:color="auto"/>
            <w:right w:val="none" w:sz="0" w:space="0" w:color="auto"/>
          </w:divBdr>
        </w:div>
      </w:divsChild>
    </w:div>
    <w:div w:id="995181703">
      <w:bodyDiv w:val="1"/>
      <w:marLeft w:val="0"/>
      <w:marRight w:val="0"/>
      <w:marTop w:val="0"/>
      <w:marBottom w:val="0"/>
      <w:divBdr>
        <w:top w:val="none" w:sz="0" w:space="0" w:color="auto"/>
        <w:left w:val="none" w:sz="0" w:space="0" w:color="auto"/>
        <w:bottom w:val="none" w:sz="0" w:space="0" w:color="auto"/>
        <w:right w:val="none" w:sz="0" w:space="0" w:color="auto"/>
      </w:divBdr>
    </w:div>
    <w:div w:id="1026785190">
      <w:bodyDiv w:val="1"/>
      <w:marLeft w:val="0"/>
      <w:marRight w:val="0"/>
      <w:marTop w:val="0"/>
      <w:marBottom w:val="0"/>
      <w:divBdr>
        <w:top w:val="none" w:sz="0" w:space="0" w:color="auto"/>
        <w:left w:val="none" w:sz="0" w:space="0" w:color="auto"/>
        <w:bottom w:val="none" w:sz="0" w:space="0" w:color="auto"/>
        <w:right w:val="none" w:sz="0" w:space="0" w:color="auto"/>
      </w:divBdr>
    </w:div>
    <w:div w:id="1195659199">
      <w:bodyDiv w:val="1"/>
      <w:marLeft w:val="0"/>
      <w:marRight w:val="0"/>
      <w:marTop w:val="0"/>
      <w:marBottom w:val="0"/>
      <w:divBdr>
        <w:top w:val="none" w:sz="0" w:space="0" w:color="auto"/>
        <w:left w:val="none" w:sz="0" w:space="0" w:color="auto"/>
        <w:bottom w:val="none" w:sz="0" w:space="0" w:color="auto"/>
        <w:right w:val="none" w:sz="0" w:space="0" w:color="auto"/>
      </w:divBdr>
      <w:divsChild>
        <w:div w:id="1958832935">
          <w:marLeft w:val="0"/>
          <w:marRight w:val="0"/>
          <w:marTop w:val="0"/>
          <w:marBottom w:val="0"/>
          <w:divBdr>
            <w:top w:val="none" w:sz="0" w:space="0" w:color="auto"/>
            <w:left w:val="none" w:sz="0" w:space="0" w:color="auto"/>
            <w:bottom w:val="none" w:sz="0" w:space="0" w:color="auto"/>
            <w:right w:val="none" w:sz="0" w:space="0" w:color="auto"/>
          </w:divBdr>
        </w:div>
      </w:divsChild>
    </w:div>
    <w:div w:id="1272208156">
      <w:bodyDiv w:val="1"/>
      <w:marLeft w:val="0"/>
      <w:marRight w:val="0"/>
      <w:marTop w:val="0"/>
      <w:marBottom w:val="0"/>
      <w:divBdr>
        <w:top w:val="none" w:sz="0" w:space="0" w:color="auto"/>
        <w:left w:val="none" w:sz="0" w:space="0" w:color="auto"/>
        <w:bottom w:val="none" w:sz="0" w:space="0" w:color="auto"/>
        <w:right w:val="none" w:sz="0" w:space="0" w:color="auto"/>
      </w:divBdr>
    </w:div>
    <w:div w:id="1275017451">
      <w:bodyDiv w:val="1"/>
      <w:marLeft w:val="0"/>
      <w:marRight w:val="0"/>
      <w:marTop w:val="0"/>
      <w:marBottom w:val="0"/>
      <w:divBdr>
        <w:top w:val="none" w:sz="0" w:space="0" w:color="auto"/>
        <w:left w:val="none" w:sz="0" w:space="0" w:color="auto"/>
        <w:bottom w:val="none" w:sz="0" w:space="0" w:color="auto"/>
        <w:right w:val="none" w:sz="0" w:space="0" w:color="auto"/>
      </w:divBdr>
    </w:div>
    <w:div w:id="1294140921">
      <w:bodyDiv w:val="1"/>
      <w:marLeft w:val="0"/>
      <w:marRight w:val="0"/>
      <w:marTop w:val="0"/>
      <w:marBottom w:val="0"/>
      <w:divBdr>
        <w:top w:val="none" w:sz="0" w:space="0" w:color="auto"/>
        <w:left w:val="none" w:sz="0" w:space="0" w:color="auto"/>
        <w:bottom w:val="none" w:sz="0" w:space="0" w:color="auto"/>
        <w:right w:val="none" w:sz="0" w:space="0" w:color="auto"/>
      </w:divBdr>
    </w:div>
    <w:div w:id="1370640622">
      <w:bodyDiv w:val="1"/>
      <w:marLeft w:val="0"/>
      <w:marRight w:val="0"/>
      <w:marTop w:val="0"/>
      <w:marBottom w:val="0"/>
      <w:divBdr>
        <w:top w:val="none" w:sz="0" w:space="0" w:color="auto"/>
        <w:left w:val="none" w:sz="0" w:space="0" w:color="auto"/>
        <w:bottom w:val="none" w:sz="0" w:space="0" w:color="auto"/>
        <w:right w:val="none" w:sz="0" w:space="0" w:color="auto"/>
      </w:divBdr>
    </w:div>
    <w:div w:id="1437869980">
      <w:bodyDiv w:val="1"/>
      <w:marLeft w:val="0"/>
      <w:marRight w:val="0"/>
      <w:marTop w:val="0"/>
      <w:marBottom w:val="0"/>
      <w:divBdr>
        <w:top w:val="none" w:sz="0" w:space="0" w:color="auto"/>
        <w:left w:val="none" w:sz="0" w:space="0" w:color="auto"/>
        <w:bottom w:val="none" w:sz="0" w:space="0" w:color="auto"/>
        <w:right w:val="none" w:sz="0" w:space="0" w:color="auto"/>
      </w:divBdr>
    </w:div>
    <w:div w:id="1465461856">
      <w:bodyDiv w:val="1"/>
      <w:marLeft w:val="0"/>
      <w:marRight w:val="0"/>
      <w:marTop w:val="0"/>
      <w:marBottom w:val="0"/>
      <w:divBdr>
        <w:top w:val="none" w:sz="0" w:space="0" w:color="auto"/>
        <w:left w:val="none" w:sz="0" w:space="0" w:color="auto"/>
        <w:bottom w:val="none" w:sz="0" w:space="0" w:color="auto"/>
        <w:right w:val="none" w:sz="0" w:space="0" w:color="auto"/>
      </w:divBdr>
    </w:div>
    <w:div w:id="1489665112">
      <w:bodyDiv w:val="1"/>
      <w:marLeft w:val="0"/>
      <w:marRight w:val="0"/>
      <w:marTop w:val="0"/>
      <w:marBottom w:val="0"/>
      <w:divBdr>
        <w:top w:val="none" w:sz="0" w:space="0" w:color="auto"/>
        <w:left w:val="none" w:sz="0" w:space="0" w:color="auto"/>
        <w:bottom w:val="none" w:sz="0" w:space="0" w:color="auto"/>
        <w:right w:val="none" w:sz="0" w:space="0" w:color="auto"/>
      </w:divBdr>
    </w:div>
    <w:div w:id="1508982759">
      <w:bodyDiv w:val="1"/>
      <w:marLeft w:val="0"/>
      <w:marRight w:val="0"/>
      <w:marTop w:val="0"/>
      <w:marBottom w:val="0"/>
      <w:divBdr>
        <w:top w:val="none" w:sz="0" w:space="0" w:color="auto"/>
        <w:left w:val="none" w:sz="0" w:space="0" w:color="auto"/>
        <w:bottom w:val="none" w:sz="0" w:space="0" w:color="auto"/>
        <w:right w:val="none" w:sz="0" w:space="0" w:color="auto"/>
      </w:divBdr>
    </w:div>
    <w:div w:id="1573858058">
      <w:bodyDiv w:val="1"/>
      <w:marLeft w:val="0"/>
      <w:marRight w:val="0"/>
      <w:marTop w:val="0"/>
      <w:marBottom w:val="0"/>
      <w:divBdr>
        <w:top w:val="none" w:sz="0" w:space="0" w:color="auto"/>
        <w:left w:val="none" w:sz="0" w:space="0" w:color="auto"/>
        <w:bottom w:val="none" w:sz="0" w:space="0" w:color="auto"/>
        <w:right w:val="none" w:sz="0" w:space="0" w:color="auto"/>
      </w:divBdr>
    </w:div>
    <w:div w:id="1678264774">
      <w:bodyDiv w:val="1"/>
      <w:marLeft w:val="0"/>
      <w:marRight w:val="0"/>
      <w:marTop w:val="0"/>
      <w:marBottom w:val="0"/>
      <w:divBdr>
        <w:top w:val="none" w:sz="0" w:space="0" w:color="auto"/>
        <w:left w:val="none" w:sz="0" w:space="0" w:color="auto"/>
        <w:bottom w:val="none" w:sz="0" w:space="0" w:color="auto"/>
        <w:right w:val="none" w:sz="0" w:space="0" w:color="auto"/>
      </w:divBdr>
    </w:div>
    <w:div w:id="1775249470">
      <w:bodyDiv w:val="1"/>
      <w:marLeft w:val="0"/>
      <w:marRight w:val="0"/>
      <w:marTop w:val="0"/>
      <w:marBottom w:val="0"/>
      <w:divBdr>
        <w:top w:val="none" w:sz="0" w:space="0" w:color="auto"/>
        <w:left w:val="none" w:sz="0" w:space="0" w:color="auto"/>
        <w:bottom w:val="none" w:sz="0" w:space="0" w:color="auto"/>
        <w:right w:val="none" w:sz="0" w:space="0" w:color="auto"/>
      </w:divBdr>
    </w:div>
    <w:div w:id="1995259690">
      <w:bodyDiv w:val="1"/>
      <w:marLeft w:val="0"/>
      <w:marRight w:val="0"/>
      <w:marTop w:val="0"/>
      <w:marBottom w:val="0"/>
      <w:divBdr>
        <w:top w:val="none" w:sz="0" w:space="0" w:color="auto"/>
        <w:left w:val="none" w:sz="0" w:space="0" w:color="auto"/>
        <w:bottom w:val="none" w:sz="0" w:space="0" w:color="auto"/>
        <w:right w:val="none" w:sz="0" w:space="0" w:color="auto"/>
      </w:divBdr>
    </w:div>
    <w:div w:id="210922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mrullan\Application%2520Data\Microsoft\Templates\Medida-V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C58FC75B682744FB4A53C756BEDC3A3" ma:contentTypeVersion="15" ma:contentTypeDescription="Create a new document." ma:contentTypeScope="" ma:versionID="f5ead3b7e71658e7c82e44210ff32b9d">
  <xsd:schema xmlns:xsd="http://www.w3.org/2001/XMLSchema" xmlns:xs="http://www.w3.org/2001/XMLSchema" xmlns:p="http://schemas.microsoft.com/office/2006/metadata/properties" xmlns:ns1="http://schemas.microsoft.com/sharepoint/v3" xmlns:ns2="c890fddd-4e87-4e08-8b51-545f2a3f7b06" xmlns:ns3="f29de0d1-023e-4363-82d3-bb472b30be6a" targetNamespace="http://schemas.microsoft.com/office/2006/metadata/properties" ma:root="true" ma:fieldsID="8b92269fa1bfb9d955155aea81b0a3ad" ns1:_="" ns2:_="" ns3:_="">
    <xsd:import namespace="http://schemas.microsoft.com/sharepoint/v3"/>
    <xsd:import namespace="c890fddd-4e87-4e08-8b51-545f2a3f7b06"/>
    <xsd:import namespace="f29de0d1-023e-4363-82d3-bb472b30be6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1:_ip_UnifiedCompliancePolicyProperties" minOccurs="0"/>
                <xsd:element ref="ns1:_ip_UnifiedCompliancePolicyUIAction" minOccurs="0"/>
                <xsd:element ref="ns2:SharedWithUsers" minOccurs="0"/>
                <xsd:element ref="ns2:SharedWithDetails" minOccurs="0"/>
                <xsd:element ref="ns3:MediaServiceObjectDetectorVersions"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0fddd-4e87-4e08-8b51-545f2a3f7b0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b1c665b-18a4-423b-8a87-b9a4f8bf8551}" ma:internalName="TaxCatchAll" ma:showField="CatchAllData" ma:web="c890fddd-4e87-4e08-8b51-545f2a3f7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9de0d1-023e-4363-82d3-bb472b30be6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f9b2a8-1e3a-458e-92b7-62c6f6b9188e"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1CF60D2-A7E7-4588-AEE9-77E8FB195952}">
  <ds:schemaRefs>
    <ds:schemaRef ds:uri="http://schemas.openxmlformats.org/officeDocument/2006/bibliography"/>
  </ds:schemaRefs>
</ds:datastoreItem>
</file>

<file path=customXml/itemProps2.xml><?xml version="1.0" encoding="utf-8"?>
<ds:datastoreItem xmlns:ds="http://schemas.openxmlformats.org/officeDocument/2006/customXml" ds:itemID="{DF73DEBC-73BF-4468-A95D-9F4A929D8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0fddd-4e87-4e08-8b51-545f2a3f7b06"/>
    <ds:schemaRef ds:uri="f29de0d1-023e-4363-82d3-bb472b30b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C0A04F-F275-4002-94E8-B5CD6C5191A5}">
  <ds:schemaRefs>
    <ds:schemaRef ds:uri="http://schemas.microsoft.com/sharepoint/v3/contenttype/forms"/>
  </ds:schemaRefs>
</ds:datastoreItem>
</file>

<file path=customXml/itemProps4.xml><?xml version="1.0" encoding="utf-8"?>
<ds:datastoreItem xmlns:ds="http://schemas.openxmlformats.org/officeDocument/2006/customXml" ds:itemID="{9A647714-0C83-425A-8229-CECCAAE83A0D}">
  <ds:schemaRefs>
    <ds:schemaRef ds:uri="http://schemas.microsoft.com/sharepoint/events"/>
  </ds:schemaRefs>
</ds:datastoreItem>
</file>

<file path=customXml/itemProps5.xml><?xml version="1.0" encoding="utf-8"?>
<ds:datastoreItem xmlns:ds="http://schemas.openxmlformats.org/officeDocument/2006/customXml" ds:itemID="{7F486869-AF01-4B46-A80D-4ECDD58E329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Medida-V2005</Template>
  <TotalTime>3</TotalTime>
  <Pages>5</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ESTADO LIBRE ASOCIADO DE PUERTO RICO</vt:lpstr>
    </vt:vector>
  </TitlesOfParts>
  <Company>Asamblea legislativa</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LIBRE ASOCIADO DE PUERTO RICO</dc:title>
  <dc:subject/>
  <dc:creator>mrullan</dc:creator>
  <cp:keywords/>
  <cp:lastModifiedBy>Eric J. González (Trámites y Récords)</cp:lastModifiedBy>
  <cp:revision>7</cp:revision>
  <cp:lastPrinted>2021-05-04T12:09:00Z</cp:lastPrinted>
  <dcterms:created xsi:type="dcterms:W3CDTF">2026-06-30T20:30:00Z</dcterms:created>
  <dcterms:modified xsi:type="dcterms:W3CDTF">2026-07-14T14:52:00Z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4SQX5P7U7WPY-958212181-809911</vt:lpwstr>
  </property>
  <property fmtid="{D5CDD505-2E9C-101B-9397-08002B2CF9AE}" pid="3" name="_dlc_DocIdItemGuid">
    <vt:lpwstr>f65035a4-2b91-402c-b996-9c1c221814d6</vt:lpwstr>
  </property>
  <property fmtid="{D5CDD505-2E9C-101B-9397-08002B2CF9AE}" pid="4" name="_dlc_DocIdUrl">
    <vt:lpwstr>https://senpr.sharepoint.com/sites/obralegislativa/_layouts/15/DocIdRedir.aspx?ID=4SQX5P7U7WPY-958212181-809911, 4SQX5P7U7WPY-958212181-809911</vt:lpwstr>
  </property>
</Properties>
</file>